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magalie.malerba@isere.gouv.fr</w:t>
      </w:r>
    </w:p>
    <w:p>
      <w:pPr>
        <w:pStyle w:val="TextBody"/>
      </w:pPr>
      <w:r>
        <w:t xml:space="preserve">Date de signature du CRTE : 15 juillet 2021</w:t>
      </w:r>
    </w:p>
    <w:p>
      <w:pPr>
        <w:pStyle w:val="TextBody"/>
      </w:pPr>
      <w:r>
        <w:t xml:space="preserve">Nature juridique de la structure porteuse : Communauté d’Agglomération</w:t>
      </w:r>
    </w:p>
    <w:p>
      <w:pPr>
        <w:pStyle w:val="TextBody"/>
      </w:pPr>
      <w:r>
        <w:t xml:space="preserve">Nom de la structure porteuse : Communauté d’agglomération des Portes de l’Isère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CA Porte de l’Isère (CAPI), nature: CA, SIREN: 243800604</w:t>
      </w:r>
    </w:p>
    <w:p>
      <w:pPr>
        <w:numPr>
          <w:ilvl w:val="0"/>
          <w:numId w:val="1001"/>
        </w:numPr>
        <w:pStyle w:val="Compact"/>
      </w:pPr>
      <w:r>
        <w:t xml:space="preserve">Nom: Isère, nature: departement, SIREN: 38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TEPOS/TEPCV</w:t>
      </w:r>
    </w:p>
    <w:p>
      <w:pPr>
        <w:numPr>
          <w:ilvl w:val="0"/>
          <w:numId w:val="1002"/>
        </w:numPr>
        <w:pStyle w:val="Compact"/>
      </w:pPr>
      <w:r>
        <w:t xml:space="preserve">CITERGIE</w:t>
      </w:r>
    </w:p>
    <w:p>
      <w:pPr>
        <w:numPr>
          <w:ilvl w:val="0"/>
          <w:numId w:val="1002"/>
        </w:numPr>
        <w:pStyle w:val="Compact"/>
      </w:pPr>
      <w:r>
        <w:t xml:space="preserve">SRADDET</w:t>
      </w:r>
    </w:p>
    <w:p>
      <w:pPr>
        <w:numPr>
          <w:ilvl w:val="0"/>
          <w:numId w:val="1002"/>
        </w:numPr>
        <w:pStyle w:val="Compact"/>
      </w:pPr>
      <w:r>
        <w:t xml:space="preserve">Contrat unique pour la préservation et la restauration des milieux de la vallée de la Bourbre</w:t>
      </w:r>
    </w:p>
    <w:p>
      <w:pPr>
        <w:numPr>
          <w:ilvl w:val="0"/>
          <w:numId w:val="1002"/>
        </w:numPr>
        <w:pStyle w:val="Compact"/>
      </w:pPr>
      <w:r>
        <w:t xml:space="preserve">PADD</w:t>
      </w:r>
    </w:p>
    <w:p>
      <w:pPr>
        <w:numPr>
          <w:ilvl w:val="0"/>
          <w:numId w:val="1002"/>
        </w:numPr>
        <w:pStyle w:val="Compact"/>
      </w:pPr>
      <w:r>
        <w:t xml:space="preserve">TEPos</w:t>
      </w:r>
    </w:p>
    <w:p>
      <w:pPr>
        <w:numPr>
          <w:ilvl w:val="0"/>
          <w:numId w:val="1002"/>
        </w:numPr>
        <w:pStyle w:val="Compact"/>
      </w:pPr>
      <w:r>
        <w:t xml:space="preserve">TEPCV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Orientation 1 : Affirmation de la cohérence et des équilibres du territoire qui se décline en 5 axes :</w:t>
      </w:r>
    </w:p>
    <w:p>
      <w:pPr>
        <w:numPr>
          <w:ilvl w:val="0"/>
          <w:numId w:val="1005"/>
        </w:numPr>
        <w:pStyle w:val="Compact"/>
      </w:pPr>
      <w:r>
        <w:t xml:space="preserve">axe 1: organiser une équité de service par secteur entre territoire ruraux et urbains</w:t>
      </w:r>
    </w:p>
    <w:p>
      <w:pPr>
        <w:numPr>
          <w:ilvl w:val="0"/>
          <w:numId w:val="1005"/>
        </w:numPr>
        <w:pStyle w:val="Compact"/>
      </w:pPr>
      <w:r>
        <w:t xml:space="preserve">axe 2 : affirmer des politiques d’aménagement et d’urbanisme fortes en matière de préservation et conservation des paysages, des espaces naturels, agricoles et forestiers</w:t>
      </w:r>
    </w:p>
    <w:p>
      <w:pPr>
        <w:numPr>
          <w:ilvl w:val="0"/>
          <w:numId w:val="1005"/>
        </w:numPr>
        <w:pStyle w:val="Compact"/>
      </w:pPr>
      <w:r>
        <w:t xml:space="preserve">axe 3 : faire du développement du lien social un axe central des politiques d’aménagement et d’urbanisme</w:t>
      </w:r>
    </w:p>
    <w:p>
      <w:pPr>
        <w:numPr>
          <w:ilvl w:val="0"/>
          <w:numId w:val="1005"/>
        </w:numPr>
        <w:pStyle w:val="Compact"/>
      </w:pPr>
      <w:r>
        <w:t xml:space="preserve">axe 4 : renforcer le maillage territorial de l’offre d’accueil d’activités</w:t>
      </w:r>
    </w:p>
    <w:p>
      <w:pPr>
        <w:numPr>
          <w:ilvl w:val="0"/>
          <w:numId w:val="1005"/>
        </w:numPr>
        <w:pStyle w:val="Compact"/>
      </w:pPr>
      <w:r>
        <w:t xml:space="preserve">axe 5 : développer une politique volontariste en matière de mobilité</w:t>
      </w:r>
    </w:p>
    <w:p>
      <w:pPr>
        <w:numPr>
          <w:ilvl w:val="0"/>
          <w:numId w:val="1005"/>
        </w:numPr>
        <w:pStyle w:val="Compact"/>
      </w:pPr>
      <w:r>
        <w:t xml:space="preserve">Orientation 2 : Un territoire qui répond aux défis environnementaux d’aujourd’hui et de demain avec 4 axes :</w:t>
      </w:r>
    </w:p>
    <w:p>
      <w:pPr>
        <w:numPr>
          <w:ilvl w:val="0"/>
          <w:numId w:val="1005"/>
        </w:numPr>
        <w:pStyle w:val="Compact"/>
      </w:pPr>
      <w:r>
        <w:t xml:space="preserve">axe 1 : devenir un territoire à énergie positive</w:t>
      </w:r>
    </w:p>
    <w:p>
      <w:pPr>
        <w:numPr>
          <w:ilvl w:val="0"/>
          <w:numId w:val="1005"/>
        </w:numPr>
        <w:pStyle w:val="Compact"/>
      </w:pPr>
      <w:r>
        <w:t xml:space="preserve">axe 2 : mettre en oeuvre une politique réelle de réhabilitation et d’optimisation des infrasctructures et bâtiments du territoire</w:t>
      </w:r>
    </w:p>
    <w:p>
      <w:pPr>
        <w:numPr>
          <w:ilvl w:val="0"/>
          <w:numId w:val="1005"/>
        </w:numPr>
        <w:pStyle w:val="Compact"/>
      </w:pPr>
      <w:r>
        <w:t xml:space="preserve">axe 3 : intervenir dans la préservation des ressources et des espaces agricoles et forestiers</w:t>
      </w:r>
    </w:p>
    <w:p>
      <w:pPr>
        <w:numPr>
          <w:ilvl w:val="0"/>
          <w:numId w:val="1005"/>
        </w:numPr>
        <w:pStyle w:val="Compact"/>
      </w:pPr>
      <w:r>
        <w:t xml:space="preserve">axe 4 : améliorer et optimiser la gestion des déchets</w:t>
      </w:r>
    </w:p>
    <w:p>
      <w:pPr>
        <w:numPr>
          <w:ilvl w:val="0"/>
          <w:numId w:val="1005"/>
        </w:numPr>
        <w:pStyle w:val="Compact"/>
      </w:pPr>
      <w:r>
        <w:t xml:space="preserve">Orientation 3 : un territoire de liens et d’envies qui se décline en 4 axes :</w:t>
      </w:r>
    </w:p>
    <w:p>
      <w:pPr>
        <w:numPr>
          <w:ilvl w:val="0"/>
          <w:numId w:val="1005"/>
        </w:numPr>
        <w:pStyle w:val="Compact"/>
      </w:pPr>
      <w:r>
        <w:t xml:space="preserve">axe 1 : développer le marketing territorial</w:t>
      </w:r>
    </w:p>
    <w:p>
      <w:pPr>
        <w:numPr>
          <w:ilvl w:val="0"/>
          <w:numId w:val="1005"/>
        </w:numPr>
        <w:pStyle w:val="Compact"/>
      </w:pPr>
      <w:r>
        <w:t xml:space="preserve">axe 2 : diversifier l’économie</w:t>
      </w:r>
    </w:p>
    <w:p>
      <w:pPr>
        <w:numPr>
          <w:ilvl w:val="0"/>
          <w:numId w:val="1005"/>
        </w:numPr>
        <w:pStyle w:val="Compact"/>
      </w:pPr>
      <w:r>
        <w:t xml:space="preserve">axe 3 : moderniser la politique de l’habitat</w:t>
      </w:r>
    </w:p>
    <w:p>
      <w:pPr>
        <w:numPr>
          <w:ilvl w:val="0"/>
          <w:numId w:val="1005"/>
        </w:numPr>
        <w:pStyle w:val="Compact"/>
      </w:pPr>
      <w:r>
        <w:t xml:space="preserve">axe 4 : proposer des services solidaires et flexibles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pStyle w:val="FirstParagraph"/>
      </w:pPr>
      <w:r>
        <w:t xml:space="preserve">Nombre de fiches action (opération prête à démarrer) : 14</w:t>
      </w:r>
    </w:p>
    <w:p>
      <w:pPr>
        <w:pStyle w:val="TextBody"/>
      </w:pPr>
      <w:r>
        <w:t xml:space="preserve">Nombre de fiches projet (opération à travailler) : 2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Sous-Préfet</w:t>
      </w:r>
    </w:p>
    <w:p>
      <w:pPr>
        <w:numPr>
          <w:ilvl w:val="0"/>
          <w:numId w:val="1007"/>
        </w:numPr>
        <w:pStyle w:val="Compact"/>
      </w:pPr>
      <w:r>
        <w:t xml:space="preserve">Président CAPI</w:t>
      </w:r>
    </w:p>
    <w:p>
      <w:pPr>
        <w:numPr>
          <w:ilvl w:val="0"/>
          <w:numId w:val="1007"/>
        </w:numPr>
        <w:pStyle w:val="Compact"/>
      </w:pPr>
      <w:r>
        <w:t xml:space="preserve">Département</w:t>
      </w:r>
    </w:p>
    <w:p>
      <w:pPr>
        <w:numPr>
          <w:ilvl w:val="0"/>
          <w:numId w:val="1007"/>
        </w:numPr>
        <w:pStyle w:val="Compact"/>
      </w:pPr>
      <w:r>
        <w:t xml:space="preserve">Services de l’Etat</w:t>
      </w:r>
    </w:p>
    <w:p>
      <w:pPr>
        <w:pStyle w:val="FirstParagraph"/>
      </w:pPr>
      <w:r>
        <w:t xml:space="preserve">Liste des instances de partenariat mobilisées ou créées : Conférence des maires, Conseil de développement, panel citoyen, et forum participatif citoyen et grand public</w:t>
      </w:r>
    </w:p>
    <w:p>
      <w:pPr>
        <w:pStyle w:val="TextBody"/>
      </w:pPr>
      <w:r>
        <w:t xml:space="preserve">Fréquence prévisionnelle annuelle de réunion du COPIL : 2</w:t>
      </w:r>
    </w:p>
    <w:p>
      <w:pPr>
        <w:pStyle w:val="TextBody"/>
      </w:pPr>
      <w:r>
        <w:t xml:space="preserve">Fréquence prévisionnelle annuelle de réunion du comité technique : 5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Concertation élus/techniciens, Forums/conférences, Consultation publique/citoyenne, et Questionnaires / enquête numérique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Oui</w:t>
      </w:r>
    </w:p>
    <w:p>
      <w:pPr>
        <w:pStyle w:val="TextBody"/>
      </w:pPr>
      <w:r>
        <w:t xml:space="preserve">Recours à la grille d’analyse ex-ante des actions : Oui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</w:t>
      </w:r>
    </w:p>
    <w:p>
      <w:pPr>
        <w:pStyle w:val="TextBody"/>
      </w:pPr>
      <w:r>
        <w:t xml:space="preserve">Mobilisation d’une ingénierie externe :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20.53M€</w:t>
      </w:r>
    </w:p>
    <w:p>
      <w:pPr>
        <w:pStyle w:val="TextBody"/>
      </w:pPr>
      <w:r>
        <w:t xml:space="preserve">Montant total en euros des engagements financiers des collectivités locales et leurs établissements publics : 4.50M€</w:t>
      </w:r>
    </w:p>
    <w:p>
      <w:pPr>
        <w:pStyle w:val="TextBody"/>
      </w:pPr>
      <w:r>
        <w:t xml:space="preserve">Montant total en euros des engagements financiers de l’Etat et de ses opérateurs Plan de relance : 2.98M€</w:t>
      </w:r>
    </w:p>
    <w:p>
      <w:pPr>
        <w:pStyle w:val="TextBody"/>
      </w:pPr>
      <w:r>
        <w:t xml:space="preserve">Montant total en euros des engagements financiers de l’Etat et de ses opérateurs hors plan de relance : 132 810€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2022-05-06T15:22:39Z</dcterms:created>
  <dcterms:modified xsi:type="dcterms:W3CDTF">2022-05-06T15:22:39Z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