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helene.guegan@ille-et-vilaine.gouv.fr</w:t>
      </w:r>
    </w:p>
    <w:p>
      <w:pPr>
        <w:pStyle w:val="TextBody"/>
      </w:pPr>
      <w:r>
        <w:t xml:space="preserve">Date de signature du CRTE : 20 juillet 2021</w:t>
      </w:r>
    </w:p>
    <w:p>
      <w:pPr>
        <w:pStyle w:val="TextBody"/>
      </w:pPr>
      <w:r>
        <w:t xml:space="preserve">Nature juridique de la structure porteuse : Communauté de communes</w:t>
      </w:r>
    </w:p>
    <w:p>
      <w:pPr>
        <w:pStyle w:val="TextBody"/>
      </w:pPr>
      <w:r>
        <w:t xml:space="preserve">Nom de la structure porteuse : Vallons de Haute Bretagne Communauté</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Vallons de Haute-Bretagne Communauté, nature: CC, SIREN: 200043990</w:t>
      </w:r>
    </w:p>
    <w:p>
      <w:pPr>
        <w:numPr>
          <w:ilvl w:val="0"/>
          <w:numId w:val="1001"/>
        </w:numPr>
        <w:pStyle w:val="Compact"/>
      </w:pPr>
      <w:r>
        <w:t xml:space="preserve">Nom: Ille-et-Vilaine, nature: departement, SIREN: 35</w:t>
      </w:r>
    </w:p>
    <w:p>
      <w:pPr>
        <w:numPr>
          <w:ilvl w:val="0"/>
          <w:numId w:val="1001"/>
        </w:numPr>
        <w:pStyle w:val="Compact"/>
      </w:pPr>
      <w:r>
        <w:t xml:space="preserve">Banque des territoires</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SAGE</w:t>
      </w:r>
    </w:p>
    <w:p>
      <w:pPr>
        <w:pStyle w:val="FirstParagraph"/>
      </w:pPr>
      <w:r>
        <w:t xml:space="preserve">Liste des contrats figurant dans le CRTE : OPAH</w:t>
      </w:r>
    </w:p>
    <w:p>
      <w:pPr>
        <w:pStyle w:val="TextBody"/>
      </w:pPr>
      <w:r>
        <w:t xml:space="preserve">Liste des programmes de l’ANCT intégrés :</w:t>
      </w:r>
    </w:p>
    <w:p>
      <w:pPr>
        <w:numPr>
          <w:ilvl w:val="0"/>
          <w:numId w:val="1003"/>
        </w:numPr>
        <w:pStyle w:val="Compact"/>
      </w:pPr>
      <w:r>
        <w:t xml:space="preserve">France services</w:t>
      </w:r>
    </w:p>
    <w:p>
      <w:pPr>
        <w:numPr>
          <w:ilvl w:val="0"/>
          <w:numId w:val="1003"/>
        </w:numPr>
        <w:pStyle w:val="Compact"/>
      </w:pPr>
      <w:r>
        <w:t xml:space="preserve">Petits villes de demain</w:t>
      </w:r>
    </w:p>
    <w:p>
      <w:pPr>
        <w:pStyle w:val="FirstParagraph"/>
      </w:pPr>
      <w:r>
        <w:t xml:space="preserve">Liste des orientations stratégiques, axes, ambitions, volets, objectifs… :</w:t>
      </w:r>
    </w:p>
    <w:p>
      <w:pPr>
        <w:numPr>
          <w:ilvl w:val="0"/>
          <w:numId w:val="1004"/>
        </w:numPr>
        <w:pStyle w:val="Compact"/>
      </w:pPr>
      <w:r>
        <w:t xml:space="preserve">Orientation 1: un territoire qui vise à préserver ses ressources en agissant sur l’eau, la biodiversité, l’énergie</w:t>
      </w:r>
    </w:p>
    <w:p>
      <w:pPr>
        <w:numPr>
          <w:ilvl w:val="0"/>
          <w:numId w:val="1004"/>
        </w:numPr>
        <w:pStyle w:val="Compact"/>
      </w:pPr>
      <w:r>
        <w:t xml:space="preserve">Orientation 2: un territoire où la collectivité et ses habitants se saisissent des enjeux d’avenir pour un cadre de vie de qualité</w:t>
      </w:r>
    </w:p>
    <w:p>
      <w:pPr>
        <w:numPr>
          <w:ilvl w:val="0"/>
          <w:numId w:val="1004"/>
        </w:numPr>
        <w:pStyle w:val="Compact"/>
      </w:pPr>
      <w:r>
        <w:t xml:space="preserve">orientation 3: un territoire qui réussit à s’adapter aux besoins à court et long termes en développant un aménagement agile</w:t>
      </w:r>
    </w:p>
    <w:p>
      <w:pPr>
        <w:numPr>
          <w:ilvl w:val="0"/>
          <w:numId w:val="1004"/>
        </w:numPr>
        <w:pStyle w:val="Compact"/>
      </w:pPr>
      <w:r>
        <w:t xml:space="preserve">Orientation 4: un territoire d’expérimentation et d’innovation qui vise à renforcer les coopérations et solidarités pour accompagner les transitions</w:t>
      </w:r>
    </w:p>
    <w:p>
      <w:pPr>
        <w:numPr>
          <w:ilvl w:val="0"/>
          <w:numId w:val="1004"/>
        </w:numPr>
        <w:pStyle w:val="Compact"/>
      </w:pPr>
      <w:r>
        <w:t xml:space="preserve">Orientation 5: un territoire de consommation et production responsables en faveur d’une économie relocalisée</w:t>
      </w:r>
    </w:p>
    <w:p>
      <w:pPr>
        <w:numPr>
          <w:ilvl w:val="0"/>
          <w:numId w:val="1004"/>
        </w:numPr>
        <w:pStyle w:val="Compact"/>
      </w:pPr>
      <w:r>
        <w:t xml:space="preserve">Objectifs de l’orientation 1: avoir des politiques publiques tournées vers la qualité et la gestion raisonnée e l’eau, la préservation et le développement de la biodiversité et de tendre vers l’autonomie énergétique. Il s’agit pour le territoire d’être économe en ressources</w:t>
      </w:r>
    </w:p>
    <w:p>
      <w:pPr>
        <w:numPr>
          <w:ilvl w:val="0"/>
          <w:numId w:val="1004"/>
        </w:numPr>
        <w:pStyle w:val="Compact"/>
      </w:pPr>
      <w:r>
        <w:t xml:space="preserve">Objectifs de l’orientation 2: développer un cadre de vie qualitatif pour les habitants en développant les nouvelles mobilités, la culture, les services de proximité, en répondant notamment aux besons de la jeunesse et en accompagnant le vieillissement de la population</w:t>
      </w:r>
    </w:p>
    <w:p>
      <w:pPr>
        <w:numPr>
          <w:ilvl w:val="0"/>
          <w:numId w:val="1004"/>
        </w:numPr>
        <w:pStyle w:val="Compact"/>
      </w:pPr>
      <w:r>
        <w:t xml:space="preserve">Objectifs de l’orientation 3: encourager un aménagement agile en encourageant à l’urbanisme circulaire et à la sobriété foncière, en développant un habitat efficient et en facilitant l’accès au soin</w:t>
      </w:r>
    </w:p>
    <w:p>
      <w:pPr>
        <w:numPr>
          <w:ilvl w:val="0"/>
          <w:numId w:val="1004"/>
        </w:numPr>
        <w:pStyle w:val="Compact"/>
      </w:pPr>
      <w:r>
        <w:t xml:space="preserve">Objectifs de l’orientation 4: impulser sur le territoire des coopérations concourant à la solidarité territoriale. Il peut s’agir de coopérations public/privé ou avec des associations. L’innovation et l’expérimentation doivent être au coeur de la démarche de transition, pour ocntribuer à révéler des pépites et créer des nouvelles richesses sur le territoire</w:t>
      </w:r>
    </w:p>
    <w:p>
      <w:pPr>
        <w:numPr>
          <w:ilvl w:val="0"/>
          <w:numId w:val="1004"/>
        </w:numPr>
        <w:pStyle w:val="Compact"/>
      </w:pPr>
      <w:r>
        <w:t xml:space="preserve">Objectifs de l’orientation 5: développer une agriculture de proximité, en renforçant notamment les circuits courts et en créant les conditions pour encourager des modes de consommation et de production responsables</w:t>
      </w:r>
    </w:p>
    <w:p>
      <w:pPr>
        <w:pStyle w:val="FirstParagraph"/>
      </w:pPr>
      <w:r>
        <w:t xml:space="preserve">Réalisation d’un diagnostic initial du territoire : NC</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Circuits courts agricoles</w:t>
      </w:r>
    </w:p>
    <w:p>
      <w:pPr>
        <w:numPr>
          <w:ilvl w:val="0"/>
          <w:numId w:val="1005"/>
        </w:numPr>
        <w:pStyle w:val="Compact"/>
      </w:pPr>
      <w:r>
        <w:t xml:space="preserve">Gestion, valorisation des déchets, réemploi</w:t>
      </w:r>
    </w:p>
    <w:p>
      <w:pPr>
        <w:numPr>
          <w:ilvl w:val="0"/>
          <w:numId w:val="1005"/>
        </w:numPr>
        <w:pStyle w:val="Compact"/>
      </w:pPr>
      <w:r>
        <w:t xml:space="preserve">Mobilités douces</w:t>
      </w:r>
    </w:p>
    <w:p>
      <w:pPr>
        <w:numPr>
          <w:ilvl w:val="0"/>
          <w:numId w:val="1005"/>
        </w:numPr>
        <w:pStyle w:val="Compact"/>
      </w:pPr>
      <w:r>
        <w:t xml:space="preserve">Véhicules électriques, hybrides, GNV, bornes de recharge…</w:t>
      </w:r>
    </w:p>
    <w:p>
      <w:pPr>
        <w:numPr>
          <w:ilvl w:val="0"/>
          <w:numId w:val="1005"/>
        </w:numPr>
        <w:pStyle w:val="Compact"/>
      </w:pPr>
      <w:r>
        <w:t xml:space="preserve">Sport</w:t>
      </w:r>
    </w:p>
    <w:p>
      <w:pPr>
        <w:numPr>
          <w:ilvl w:val="0"/>
          <w:numId w:val="1005"/>
        </w:numPr>
        <w:pStyle w:val="Compact"/>
      </w:pPr>
      <w:r>
        <w:t xml:space="preserve">Vivre ensemble, interdépendance et solidarité</w:t>
      </w:r>
    </w:p>
    <w:p>
      <w:pPr>
        <w:numPr>
          <w:ilvl w:val="0"/>
          <w:numId w:val="1005"/>
        </w:numPr>
        <w:pStyle w:val="Compact"/>
      </w:pPr>
      <w:r>
        <w:t xml:space="preserve">Extension urbaine maîtrisée</w:t>
      </w:r>
    </w:p>
    <w:p>
      <w:pPr>
        <w:numPr>
          <w:ilvl w:val="0"/>
          <w:numId w:val="1005"/>
        </w:numPr>
        <w:pStyle w:val="Compact"/>
      </w:pPr>
      <w:r>
        <w:t xml:space="preserve">Gestion quantitative et qualitative de l’eau</w:t>
      </w:r>
    </w:p>
    <w:p>
      <w:pPr>
        <w:numPr>
          <w:ilvl w:val="0"/>
          <w:numId w:val="1005"/>
        </w:numPr>
        <w:pStyle w:val="Compact"/>
      </w:pPr>
      <w:r>
        <w:t xml:space="preserve">Economie, production et consommation durable</w:t>
      </w:r>
    </w:p>
    <w:p>
      <w:pPr>
        <w:numPr>
          <w:ilvl w:val="0"/>
          <w:numId w:val="1005"/>
        </w:numPr>
        <w:pStyle w:val="Compact"/>
      </w:pPr>
      <w:r>
        <w:t xml:space="preserve">Organisation des déplacements</w:t>
      </w:r>
    </w:p>
    <w:p>
      <w:pPr>
        <w:numPr>
          <w:ilvl w:val="0"/>
          <w:numId w:val="1005"/>
        </w:numPr>
        <w:pStyle w:val="Compact"/>
      </w:pPr>
      <w:r>
        <w:t xml:space="preserve">Culture et patrimoine</w:t>
      </w:r>
    </w:p>
    <w:p>
      <w:pPr>
        <w:numPr>
          <w:ilvl w:val="0"/>
          <w:numId w:val="1005"/>
        </w:numPr>
        <w:pStyle w:val="Compact"/>
      </w:pPr>
      <w:r>
        <w:t xml:space="preserve">Santé et soins</w:t>
      </w:r>
    </w:p>
    <w:p>
      <w:pPr>
        <w:numPr>
          <w:ilvl w:val="0"/>
          <w:numId w:val="1005"/>
        </w:numPr>
        <w:pStyle w:val="Compact"/>
      </w:pPr>
      <w:r>
        <w:t xml:space="preserve">Commerce, artisanat de proximité</w:t>
      </w:r>
    </w:p>
    <w:p>
      <w:pPr>
        <w:pStyle w:val="FirstParagraph"/>
      </w:pPr>
      <w:r>
        <w:t xml:space="preserve">Nombre de fiches action (opération prête à démarrer) : 40</w:t>
      </w:r>
    </w:p>
    <w:p>
      <w:pPr>
        <w:pStyle w:val="TextBody"/>
      </w:pPr>
      <w:r>
        <w:t xml:space="preserve">Nombre de fiches projet (opération à travailler) : 84</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préfet du département</w:t>
      </w:r>
    </w:p>
    <w:p>
      <w:pPr>
        <w:numPr>
          <w:ilvl w:val="0"/>
          <w:numId w:val="1006"/>
        </w:numPr>
        <w:pStyle w:val="Compact"/>
      </w:pPr>
      <w:r>
        <w:t xml:space="preserve">services de l’Etat</w:t>
      </w:r>
    </w:p>
    <w:p>
      <w:pPr>
        <w:numPr>
          <w:ilvl w:val="0"/>
          <w:numId w:val="1006"/>
        </w:numPr>
        <w:pStyle w:val="Compact"/>
      </w:pPr>
      <w:r>
        <w:t xml:space="preserve">caisse des dépôts</w:t>
      </w:r>
    </w:p>
    <w:p>
      <w:pPr>
        <w:numPr>
          <w:ilvl w:val="0"/>
          <w:numId w:val="1006"/>
        </w:numPr>
        <w:pStyle w:val="Compact"/>
      </w:pPr>
      <w:r>
        <w:t xml:space="preserve">Nom: Ille-et-Vilaine, nature: departement, SIREN: 35</w:t>
      </w:r>
    </w:p>
    <w:p>
      <w:pPr>
        <w:numPr>
          <w:ilvl w:val="0"/>
          <w:numId w:val="1006"/>
        </w:numPr>
        <w:pStyle w:val="Compact"/>
      </w:pPr>
      <w:r>
        <w:t xml:space="preserve">Nom: CC Vallons de Haute-Bretagne Communauté, nature: CC, SIREN: 200043990</w:t>
      </w:r>
    </w:p>
    <w:p>
      <w:pPr>
        <w:numPr>
          <w:ilvl w:val="0"/>
          <w:numId w:val="1006"/>
        </w:numPr>
        <w:pStyle w:val="Compact"/>
      </w:pPr>
      <w:r>
        <w:t xml:space="preserve">ADEME</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Consultation publique/citoyenne, Concertation élus/techniciens, et Ateliers</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NC</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NON</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9.22M€</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1.74M€</w:t>
      </w:r>
    </w:p>
    <w:p>
      <w:pPr>
        <w:pStyle w:val="TextBody"/>
      </w:pPr>
      <w:r>
        <w:t xml:space="preserve">Montant total en euros des engagements financiers de l’Etat et de ses opérateurs hors plan de relance : 969 166€</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2022-05-06T15:22:36Z</dcterms:created>
  <dcterms:modified xsi:type="dcterms:W3CDTF">2022-05-06T15:22:36Z</dcterms:modified>
</cp:coreProperties>
</file>

<file path=docProps/custom.xml><?xml version="1.0" encoding="utf-8"?>
<Properties xmlns="http://schemas.openxmlformats.org/officeDocument/2006/custom-properties" xmlns:vt="http://schemas.openxmlformats.org/officeDocument/2006/docPropsVTypes"/>
</file>