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helene.guegan@ille-et-vilaine.gouv.fr</w:t>
      </w:r>
    </w:p>
    <w:p>
      <w:pPr>
        <w:pStyle w:val="TextBody"/>
      </w:pPr>
      <w:r>
        <w:t xml:space="preserve">Date de signature du CRTE : 15 décembre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Redon Agglomération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Redon Agglomération, nature: CA, SIREN: 243500741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1"/>
        </w:numPr>
        <w:pStyle w:val="Compact"/>
      </w:pPr>
      <w:r>
        <w:t xml:space="preserve">Nom: Ille-et-Vilaine, nature: departement, SIREN: 35</w:t>
      </w:r>
    </w:p>
    <w:p>
      <w:pPr>
        <w:numPr>
          <w:ilvl w:val="0"/>
          <w:numId w:val="1001"/>
        </w:numPr>
        <w:pStyle w:val="Compact"/>
      </w:pPr>
      <w:r>
        <w:t xml:space="preserve">Nom: Loire-Atlantique, nature: departement, SIREN: 44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1: Bien vivre ensemble à tous les âges. Objectifs: proposer nouvelles formes d’habitat; pratiques plus vertueuses en termes de santé, écologie, consommation énergétique, déplacement et sobriété foncière; préserver richesse et diversité activités culturelles, sportives, sociales, touristiques et de loisirs, les rendre accessible à tous, faciliter l’égalité des chances; accompagner les citoyens à tous les âges; accompagner aux nouvelles technologies, faciliter la digitalisation; promouvoir la santé et le bien être; accompagner la mise en oeuvre d’un centre hospitalier d’excellence en médecine, chirurgie et obstétrique et favoriser l’accueil de nouveaux professionnels de ville</w:t>
      </w:r>
    </w:p>
    <w:p>
      <w:pPr>
        <w:numPr>
          <w:ilvl w:val="0"/>
          <w:numId w:val="1005"/>
        </w:numPr>
        <w:pStyle w:val="Compact"/>
      </w:pPr>
      <w:r>
        <w:t xml:space="preserve">Orientation 2: relever les défis de la transition écologique. Objectifs: expérimenter de nouvelles manières de consommer l’énergie pour réduire la quantité utilisée; développer mobilité décarbonnée; expérimenter des techniques d’économies des ressources; réduire l’impact des rejets d’assainissement et distribuer une eau potable de qualité. Reconquérir la biodiversité et la qualité des milieux aquatiques; développer une offre et une consommation alimentaire locale de qualité, accompagner la transition vers une agriculture saine et durable; adapter les aménagements et les équipements au changement climatique et se préparer à la gestion de phénomènes climatiques extrême</w:t>
      </w:r>
    </w:p>
    <w:p>
      <w:pPr>
        <w:numPr>
          <w:ilvl w:val="0"/>
          <w:numId w:val="1005"/>
        </w:numPr>
        <w:pStyle w:val="Compact"/>
      </w:pPr>
      <w:r>
        <w:t xml:space="preserve">Orientation 3: accompagner l’économie innovante, de proximité. Objectifs: encourager les activités économiques qui accompagnent les transitions écologiques et culturelles par de nouveaux services et technologies; favoriser la commercialisation en circuit court et la transformation locale dans des produits agricoles; soutenir l’enseignement suérieur pour répondre aux besoins des entreprises du territoire, enrichir l’offre locale de formation accessible à tous, à tout moment du parcours de vie; essaimer la culture scientifique et la nécessité de mettre les innovations au service de la solidarité du territoire; favoriser l’innovation sociale et solidaire au service des transitions</w:t>
      </w:r>
    </w:p>
    <w:p>
      <w:pPr>
        <w:numPr>
          <w:ilvl w:val="0"/>
          <w:numId w:val="1005"/>
        </w:numPr>
        <w:pStyle w:val="Compact"/>
      </w:pPr>
      <w:r>
        <w:t xml:space="preserve">Orientation 4: Coopérer et s’appuyer sur nos initiatives et savoir-faire pour relever les défis. Objectifs: partager les expérimentations, les mobilisations locales; changer les pratiques sur la mobilité, l’alimentation, la consommation énergétique; la coopération entre les communes et l’agglo sera encouragée et développée, de même qu’avec les territoires voisins, comme l’Alliance intermétropolitaine; acculturation au décloisonnement des approches est en cours de déploiement et des outils expérimentau sont élaborés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55</w:t>
      </w:r>
    </w:p>
    <w:p>
      <w:pPr>
        <w:pStyle w:val="TextBody"/>
      </w:pPr>
      <w:r>
        <w:t xml:space="preserve">Nombre de fiches projet (opération à travailler) : 98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du département</w:t>
      </w:r>
    </w:p>
    <w:p>
      <w:pPr>
        <w:numPr>
          <w:ilvl w:val="0"/>
          <w:numId w:val="1007"/>
        </w:numPr>
        <w:pStyle w:val="Compact"/>
      </w:pPr>
      <w:r>
        <w:t xml:space="preserve">Président de Redon Agglomération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Conseil départemental</w:t>
      </w:r>
    </w:p>
    <w:p>
      <w:pPr>
        <w:numPr>
          <w:ilvl w:val="0"/>
          <w:numId w:val="1007"/>
        </w:numPr>
        <w:pStyle w:val="Compact"/>
      </w:pPr>
      <w:r>
        <w:t xml:space="preserve">conseil régional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 et Ateliers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19.48M€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4.07M€</w:t>
      </w:r>
    </w:p>
    <w:p>
      <w:pPr>
        <w:pStyle w:val="TextBody"/>
      </w:pPr>
      <w:r>
        <w:t xml:space="preserve">Montant total en euros des engagements financiers de l’Etat et de ses opérateurs hors plan de relance : 2.66M€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2022-05-06T15:22:36Z</dcterms:created>
  <dcterms:modified xsi:type="dcterms:W3CDTF">2022-05-06T15:22:36Z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