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christophe.gay@herault.gouv.fr</w:t>
      </w:r>
    </w:p>
    <w:p>
      <w:pPr>
        <w:pStyle w:val="TextBody"/>
      </w:pPr>
      <w:r>
        <w:t xml:space="preserve">Date de signature du CRTE : 27 décembre 2022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Montpellier Méditerranné Métropole</w:t>
      </w:r>
    </w:p>
    <w:p>
      <w:pPr>
        <w:pStyle w:val="TextBody"/>
      </w:pPr>
      <w:r>
        <w:t xml:space="preserve">Si protocole de préfiguration : date de signature : 24 juin 2022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Montpellier Méditerranée Métropole, nature: METRO, SIREN: 243400017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PDU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logement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Cap sur la transition écologique : une métropole utile à ses commiunes et ses habitants</w:t>
      </w:r>
    </w:p>
    <w:p>
      <w:pPr>
        <w:numPr>
          <w:ilvl w:val="0"/>
          <w:numId w:val="1004"/>
        </w:numPr>
        <w:pStyle w:val="Compact"/>
      </w:pPr>
      <w:r>
        <w:t xml:space="preserve">Métropole et relance économique : construire une économie prodiuctive et durable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Montpellier Méditerranée Métropole, nature: METRO, SIREN: 243400017</w:t>
      </w:r>
    </w:p>
    <w:p>
      <w:pPr>
        <w:numPr>
          <w:ilvl w:val="0"/>
          <w:numId w:val="1006"/>
        </w:numPr>
        <w:pStyle w:val="Compact"/>
      </w:pPr>
      <w:r>
        <w:t xml:space="preserve">Préfet de l’’Hérault</w:t>
      </w:r>
    </w:p>
    <w:p>
      <w:pPr>
        <w:numPr>
          <w:ilvl w:val="0"/>
          <w:numId w:val="1006"/>
        </w:numPr>
        <w:pStyle w:val="Compact"/>
      </w:pPr>
      <w:r>
        <w:t xml:space="preserve">DDI</w:t>
      </w:r>
    </w:p>
    <w:p>
      <w:pPr>
        <w:numPr>
          <w:ilvl w:val="0"/>
          <w:numId w:val="1006"/>
        </w:numPr>
        <w:pStyle w:val="Compact"/>
      </w:pPr>
      <w:r>
        <w:t xml:space="preserve">Agences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CDC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CCI, CMA, CA, CDC, OFB, ANAH, ANRI, BPI, et Banque des Territoires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2022-05-06T15:22:34Z</dcterms:created>
  <dcterms:modified xsi:type="dcterms:W3CDTF">2022-05-06T15:22:34Z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