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Agglomération du pays de l’Or</w:t>
      </w:r>
    </w:p>
    <w:p>
      <w:pPr>
        <w:pStyle w:val="TextBody"/>
      </w:pPr>
      <w:r>
        <w:t xml:space="preserve">Si protocole de préfiguration : date de signature : 12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TEPCV</w:t>
      </w:r>
    </w:p>
    <w:p>
      <w:pPr>
        <w:numPr>
          <w:ilvl w:val="0"/>
          <w:numId w:val="1001"/>
        </w:numPr>
        <w:pStyle w:val="Compact"/>
      </w:pPr>
      <w:r>
        <w:t xml:space="preserve">PADD</w:t>
      </w:r>
    </w:p>
    <w:p>
      <w:pPr>
        <w:numPr>
          <w:ilvl w:val="0"/>
          <w:numId w:val="1001"/>
        </w:numPr>
        <w:pStyle w:val="Compact"/>
      </w:pPr>
      <w:r>
        <w:t xml:space="preserve">DOO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PEDT</w:t>
      </w:r>
    </w:p>
    <w:p>
      <w:pPr>
        <w:numPr>
          <w:ilvl w:val="0"/>
          <w:numId w:val="1001"/>
        </w:numPr>
        <w:pStyle w:val="Compact"/>
      </w:pPr>
      <w:r>
        <w:t xml:space="preserve">STSPD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économique</w:t>
      </w:r>
    </w:p>
    <w:p>
      <w:pPr>
        <w:numPr>
          <w:ilvl w:val="0"/>
          <w:numId w:val="1004"/>
        </w:numPr>
        <w:pStyle w:val="Compact"/>
      </w:pPr>
      <w:r>
        <w:t xml:space="preserve">environement</w:t>
      </w:r>
    </w:p>
    <w:p>
      <w:pPr>
        <w:numPr>
          <w:ilvl w:val="0"/>
          <w:numId w:val="1004"/>
        </w:numPr>
        <w:pStyle w:val="Compact"/>
      </w:pPr>
      <w:r>
        <w:t xml:space="preserve">proximite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165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PAO</w:t>
      </w:r>
    </w:p>
    <w:p>
      <w:pPr>
        <w:numPr>
          <w:ilvl w:val="0"/>
          <w:numId w:val="1006"/>
        </w:numPr>
        <w:pStyle w:val="Compact"/>
      </w:pPr>
      <w:r>
        <w:t xml:space="preserve">ELUS</w:t>
      </w:r>
    </w:p>
    <w:p>
      <w:pPr>
        <w:numPr>
          <w:ilvl w:val="0"/>
          <w:numId w:val="1006"/>
        </w:numPr>
        <w:pStyle w:val="Compact"/>
      </w:pPr>
      <w:r>
        <w:t xml:space="preserve">Direction des relations avec les collectivités locales</w:t>
      </w:r>
    </w:p>
    <w:p>
      <w:pPr>
        <w:numPr>
          <w:ilvl w:val="0"/>
          <w:numId w:val="1006"/>
        </w:numPr>
        <w:pStyle w:val="Compact"/>
      </w:pPr>
      <w:r>
        <w:t xml:space="preserve">Mission coordination territoriale des politiques publiques</w:t>
      </w:r>
    </w:p>
    <w:p>
      <w:pPr>
        <w:numPr>
          <w:ilvl w:val="0"/>
          <w:numId w:val="1006"/>
        </w:numPr>
        <w:pStyle w:val="Compact"/>
      </w:pPr>
      <w:r>
        <w:t xml:space="preserve">élus</w:t>
      </w:r>
    </w:p>
    <w:p>
      <w:pPr>
        <w:numPr>
          <w:ilvl w:val="0"/>
          <w:numId w:val="1006"/>
        </w:numPr>
        <w:pStyle w:val="Compact"/>
      </w:pPr>
      <w:r>
        <w:t xml:space="preserve">Directions départementales interministérielles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 , Chambre des Métiers et de l’artisanat, et Chambre d’Agriculture</w:t>
      </w:r>
    </w:p>
    <w:p>
      <w:pPr>
        <w:pStyle w:val="TextBody"/>
      </w:pPr>
      <w:r>
        <w:t xml:space="preserve">Démarches de co-construction du CRTE : Concertation élus/techniciens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2022-05-06T15:22:34Z</dcterms:created>
  <dcterms:modified xsi:type="dcterms:W3CDTF">2022-05-06T15:22:34Z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