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Evelyne.LACOSTE-POMES@pays.auch.fr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d’Auch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d’Auch, nature: PETR, SIREN: 200051480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alimentaire territorial</w:t>
      </w:r>
    </w:p>
    <w:p>
      <w:pPr>
        <w:pStyle w:val="TextBody"/>
      </w:pPr>
      <w:r>
        <w:t xml:space="preserve">Liste des contrats figurant dans le CRTE : Contrat de ville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2"/>
        </w:numPr>
        <w:pStyle w:val="Compact"/>
      </w:pPr>
      <w:r>
        <w:t xml:space="preserve">Fabrique des territoires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cadre de vie</w:t>
      </w:r>
    </w:p>
    <w:p>
      <w:pPr>
        <w:numPr>
          <w:ilvl w:val="0"/>
          <w:numId w:val="1003"/>
        </w:numPr>
        <w:pStyle w:val="Compact"/>
      </w:pPr>
      <w:r>
        <w:t xml:space="preserve">attractivité</w:t>
      </w:r>
    </w:p>
    <w:p>
      <w:pPr>
        <w:numPr>
          <w:ilvl w:val="0"/>
          <w:numId w:val="1003"/>
        </w:numPr>
        <w:pStyle w:val="Compact"/>
      </w:pPr>
      <w:r>
        <w:t xml:space="preserve">cohésion sociale et solidarité</w:t>
      </w:r>
    </w:p>
    <w:p>
      <w:pPr>
        <w:numPr>
          <w:ilvl w:val="0"/>
          <w:numId w:val="1003"/>
        </w:numPr>
        <w:pStyle w:val="Compact"/>
      </w:pPr>
      <w:r>
        <w:t xml:space="preserve">mobilités et transition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PETR du Pays d’Auch, nature: PETR, SIREN: 200051480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Gers, nature: departement, SIREN: 32</w:t>
      </w:r>
    </w:p>
    <w:p>
      <w:pPr>
        <w:numPr>
          <w:ilvl w:val="0"/>
          <w:numId w:val="1005"/>
        </w:numPr>
        <w:pStyle w:val="Compact"/>
      </w:pPr>
      <w:r>
        <w:t xml:space="preserve">Nom: Occitanie, nature: region, SIREN: 76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4.00M€</w:t>
      </w:r>
    </w:p>
    <w:p>
      <w:pPr>
        <w:pStyle w:val="TextBody"/>
      </w:pPr>
      <w:r>
        <w:t xml:space="preserve">Montant total en euros des engagements financiers de l’Etat et de ses opérateurs hors plan de relance : 11.70M€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