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Comminges Pyrénées</w:t>
      </w:r>
    </w:p>
    <w:p>
      <w:pPr>
        <w:pStyle w:val="TextBody"/>
      </w:pPr>
      <w:r>
        <w:t xml:space="preserve">Si protocole de préfiguration : date de signature : 15 juillet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Comminges Pyrénées, nature: PETR, SIREN: 200052124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plan avenir Montagne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PIG - ANAH</w:t>
      </w:r>
    </w:p>
    <w:p>
      <w:pPr>
        <w:numPr>
          <w:ilvl w:val="0"/>
          <w:numId w:val="1002"/>
        </w:numPr>
        <w:pStyle w:val="Compact"/>
      </w:pPr>
      <w:r>
        <w:t xml:space="preserve">contrat de réciprocité</w:t>
      </w:r>
    </w:p>
    <w:p>
      <w:pPr>
        <w:numPr>
          <w:ilvl w:val="0"/>
          <w:numId w:val="1002"/>
        </w:numPr>
        <w:pStyle w:val="Compact"/>
      </w:pPr>
      <w:r>
        <w:t xml:space="preserve">POCTEFA</w:t>
      </w:r>
    </w:p>
    <w:p>
      <w:pPr>
        <w:numPr>
          <w:ilvl w:val="0"/>
          <w:numId w:val="1002"/>
        </w:numPr>
        <w:pStyle w:val="Compact"/>
      </w:pPr>
      <w:r>
        <w:t xml:space="preserve">Bourg-centre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stratégique n°1 un territoire naturel remarquable à protéger pour faire valoir son potentiel</w:t>
      </w:r>
    </w:p>
    <w:p>
      <w:pPr>
        <w:numPr>
          <w:ilvl w:val="0"/>
          <w:numId w:val="1004"/>
        </w:numPr>
        <w:pStyle w:val="Compact"/>
      </w:pPr>
      <w:r>
        <w:t xml:space="preserve">Orientation 1 : préserver et valoriser la richesse environnementale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 : développer le potentiel énergétique renouvelable du territoire et maîtriser la consommation d’énergie</w:t>
      </w:r>
    </w:p>
    <w:p>
      <w:pPr>
        <w:numPr>
          <w:ilvl w:val="0"/>
          <w:numId w:val="1004"/>
        </w:numPr>
        <w:pStyle w:val="Compact"/>
      </w:pPr>
      <w:r>
        <w:t xml:space="preserve">Axe stratégique n°2 : un territoire portant l’ambition d’une offre touristique et de loisirs durable et diversifiée</w:t>
      </w:r>
    </w:p>
    <w:p>
      <w:pPr>
        <w:numPr>
          <w:ilvl w:val="0"/>
          <w:numId w:val="1004"/>
        </w:numPr>
        <w:pStyle w:val="Compact"/>
      </w:pPr>
      <w:r>
        <w:t xml:space="preserve">Orientation 1 : soutenir la mise en place d’un tourisme 4 saisons</w:t>
      </w:r>
    </w:p>
    <w:p>
      <w:pPr>
        <w:numPr>
          <w:ilvl w:val="0"/>
          <w:numId w:val="1004"/>
        </w:numPr>
        <w:pStyle w:val="Compact"/>
      </w:pPr>
      <w:r>
        <w:t xml:space="preserve">Orientation 2 : développer une offre d’hébergements touristiques qualitative pour tous les publics</w:t>
      </w:r>
    </w:p>
    <w:p>
      <w:pPr>
        <w:numPr>
          <w:ilvl w:val="0"/>
          <w:numId w:val="1004"/>
        </w:numPr>
        <w:pStyle w:val="Compact"/>
      </w:pPr>
      <w:r>
        <w:t xml:space="preserve">Orientation 3 : favoriser la mise en réseau des acteurs du tourisme</w:t>
      </w:r>
    </w:p>
    <w:p>
      <w:pPr>
        <w:numPr>
          <w:ilvl w:val="0"/>
          <w:numId w:val="1004"/>
        </w:numPr>
        <w:pStyle w:val="Compact"/>
      </w:pPr>
      <w:r>
        <w:t xml:space="preserve">Axe stratégique n°3 : un territoire promouvant une agriculture durable et une alimentation de qualité</w:t>
      </w:r>
    </w:p>
    <w:p>
      <w:pPr>
        <w:numPr>
          <w:ilvl w:val="0"/>
          <w:numId w:val="1004"/>
        </w:numPr>
        <w:pStyle w:val="Compact"/>
      </w:pPr>
      <w:r>
        <w:t xml:space="preserve">Orientation 1 : encourager la production locale et une consommation durable</w:t>
      </w:r>
    </w:p>
    <w:p>
      <w:pPr>
        <w:numPr>
          <w:ilvl w:val="0"/>
          <w:numId w:val="1004"/>
        </w:numPr>
        <w:pStyle w:val="Compact"/>
      </w:pPr>
      <w:r>
        <w:t xml:space="preserve">Orientation 2 : développer les outils de valorisation et de transformation</w:t>
      </w:r>
    </w:p>
    <w:p>
      <w:pPr>
        <w:numPr>
          <w:ilvl w:val="0"/>
          <w:numId w:val="1004"/>
        </w:numPr>
        <w:pStyle w:val="Compact"/>
      </w:pPr>
      <w:r>
        <w:t xml:space="preserve">Orientation 3 : mieux communiquer pour valoriser la production locale</w:t>
      </w:r>
    </w:p>
    <w:p>
      <w:pPr>
        <w:numPr>
          <w:ilvl w:val="0"/>
          <w:numId w:val="1004"/>
        </w:numPr>
        <w:pStyle w:val="Compact"/>
      </w:pPr>
      <w:r>
        <w:t xml:space="preserve">Axe stratégique n°4 : un territoire d’accueil pour l’activité économique</w:t>
      </w:r>
    </w:p>
    <w:p>
      <w:pPr>
        <w:numPr>
          <w:ilvl w:val="0"/>
          <w:numId w:val="1004"/>
        </w:numPr>
        <w:pStyle w:val="Compact"/>
      </w:pPr>
      <w:r>
        <w:t xml:space="preserve">Orientation 1 : développer l’offre de formation pour conforter l’emploi local</w:t>
      </w:r>
    </w:p>
    <w:p>
      <w:pPr>
        <w:numPr>
          <w:ilvl w:val="0"/>
          <w:numId w:val="1004"/>
        </w:numPr>
        <w:pStyle w:val="Compact"/>
      </w:pPr>
      <w:r>
        <w:t xml:space="preserve">Orientation 2 : développer les filières d’avenir et innovantes</w:t>
      </w:r>
    </w:p>
    <w:p>
      <w:pPr>
        <w:numPr>
          <w:ilvl w:val="0"/>
          <w:numId w:val="1004"/>
        </w:numPr>
        <w:pStyle w:val="Compact"/>
      </w:pPr>
      <w:r>
        <w:t xml:space="preserve">Orientation 3 : optimiser les zones d’activités ou leur reconversion</w:t>
      </w:r>
    </w:p>
    <w:p>
      <w:pPr>
        <w:numPr>
          <w:ilvl w:val="0"/>
          <w:numId w:val="1004"/>
        </w:numPr>
        <w:pStyle w:val="Compact"/>
      </w:pPr>
      <w:r>
        <w:t xml:space="preserve">Orientation 4 : revitaliser et dynamiser les cœurs de ville et de village</w:t>
      </w:r>
    </w:p>
    <w:p>
      <w:pPr>
        <w:numPr>
          <w:ilvl w:val="0"/>
          <w:numId w:val="1004"/>
        </w:numPr>
        <w:pStyle w:val="Compact"/>
      </w:pPr>
      <w:r>
        <w:t xml:space="preserve">Axe stratégique n°5 : un territoire de vie solidaire, innovant et accessible</w:t>
      </w:r>
    </w:p>
    <w:p>
      <w:pPr>
        <w:numPr>
          <w:ilvl w:val="0"/>
          <w:numId w:val="1004"/>
        </w:numPr>
        <w:pStyle w:val="Compact"/>
      </w:pPr>
      <w:r>
        <w:t xml:space="preserve">Orientation 1 : adapter les offres des équipements et services de proximité aux besoins de la population</w:t>
      </w:r>
    </w:p>
    <w:p>
      <w:pPr>
        <w:numPr>
          <w:ilvl w:val="0"/>
          <w:numId w:val="1004"/>
        </w:numPr>
        <w:pStyle w:val="Compact"/>
      </w:pPr>
      <w:r>
        <w:t xml:space="preserve">Orientation 2 : réhabiliter et développer l’habitat en assurant une gestion économe de l’espace</w:t>
      </w:r>
    </w:p>
    <w:p>
      <w:pPr>
        <w:numPr>
          <w:ilvl w:val="0"/>
          <w:numId w:val="1004"/>
        </w:numPr>
        <w:pStyle w:val="Compact"/>
      </w:pPr>
      <w:r>
        <w:t xml:space="preserve">Orientation 3 : développer les mobilités multimodales, durables et économes en énergie</w:t>
      </w:r>
    </w:p>
    <w:p>
      <w:pPr>
        <w:numPr>
          <w:ilvl w:val="0"/>
          <w:numId w:val="1004"/>
        </w:numPr>
        <w:pStyle w:val="Compact"/>
      </w:pPr>
      <w:r>
        <w:t xml:space="preserve">Orientation 4 : répondre aux besoins des habitants en matière de santé</w:t>
      </w:r>
    </w:p>
    <w:p>
      <w:pPr>
        <w:numPr>
          <w:ilvl w:val="0"/>
          <w:numId w:val="1004"/>
        </w:numPr>
        <w:pStyle w:val="Compact"/>
      </w:pPr>
      <w:r>
        <w:t xml:space="preserve">Axe stratégique n°6 : un territoire qui coopère avec l’extérieur</w:t>
      </w:r>
    </w:p>
    <w:p>
      <w:pPr>
        <w:numPr>
          <w:ilvl w:val="0"/>
          <w:numId w:val="1004"/>
        </w:numPr>
        <w:pStyle w:val="Compact"/>
      </w:pPr>
      <w:r>
        <w:t xml:space="preserve">Orientation 1 : développer des synergies économiques avec les territoires limitrophes du Pays Comminges Pyrénées</w:t>
      </w:r>
    </w:p>
    <w:p>
      <w:pPr>
        <w:numPr>
          <w:ilvl w:val="0"/>
          <w:numId w:val="1004"/>
        </w:numPr>
        <w:pStyle w:val="Compact"/>
      </w:pPr>
      <w:r>
        <w:t xml:space="preserve">Orientation 2 : mutualiser les moyens et coopérer de façon solidaire avec les territoires voisins pour un 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PETR du Pays Comminges Pyrénées, nature: PETR, SIREN: 200052124</w:t>
      </w:r>
    </w:p>
    <w:p>
      <w:pPr>
        <w:numPr>
          <w:ilvl w:val="0"/>
          <w:numId w:val="1006"/>
        </w:numPr>
        <w:pStyle w:val="Compact"/>
      </w:pPr>
      <w:r>
        <w:t xml:space="preserve">représentants des communautés de communes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