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c.calpela@portedromeardeche.fr</w:t>
      </w:r>
    </w:p>
    <w:p>
      <w:pPr>
        <w:pStyle w:val="TextBody"/>
      </w:pPr>
      <w:r>
        <w:t xml:space="preserve">Date de signature du CRTE : 31 décembre 2021</w:t>
      </w:r>
    </w:p>
    <w:p>
      <w:pPr>
        <w:pStyle w:val="TextBody"/>
      </w:pPr>
      <w:r>
        <w:t xml:space="preserve">Nature juridique de la structure porteuse : Communauté de communes</w:t>
      </w:r>
    </w:p>
    <w:p>
      <w:pPr>
        <w:pStyle w:val="TextBody"/>
      </w:pPr>
      <w:r>
        <w:t xml:space="preserve">Nom de la structure porteuse : Communauté de communes des Portes de Dromardèche</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Drôme, nature: departement, SIREN: 26</w:t>
      </w:r>
    </w:p>
    <w:p>
      <w:pPr>
        <w:numPr>
          <w:ilvl w:val="0"/>
          <w:numId w:val="1001"/>
        </w:numPr>
        <w:pStyle w:val="Compact"/>
      </w:pPr>
      <w:r>
        <w:t xml:space="preserve">Nom: CC Porte de Dromardèche, nature: CC, SIREN: 200040491</w:t>
      </w:r>
    </w:p>
    <w:p>
      <w:pPr>
        <w:numPr>
          <w:ilvl w:val="0"/>
          <w:numId w:val="1001"/>
        </w:numPr>
        <w:pStyle w:val="Compact"/>
      </w:pPr>
      <w:r>
        <w:t xml:space="preserve">Etat</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numPr>
          <w:ilvl w:val="0"/>
          <w:numId w:val="1002"/>
        </w:numPr>
        <w:pStyle w:val="Compact"/>
      </w:pPr>
      <w:r>
        <w:t xml:space="preserve">SRADDET</w:t>
      </w:r>
    </w:p>
    <w:p>
      <w:pPr>
        <w:numPr>
          <w:ilvl w:val="0"/>
          <w:numId w:val="1002"/>
        </w:numPr>
        <w:pStyle w:val="Compact"/>
      </w:pPr>
      <w:r>
        <w:t xml:space="preserve">PAPI</w:t>
      </w:r>
    </w:p>
    <w:p>
      <w:pPr>
        <w:numPr>
          <w:ilvl w:val="0"/>
          <w:numId w:val="1002"/>
        </w:numPr>
        <w:pStyle w:val="Compact"/>
      </w:pPr>
      <w:r>
        <w:t xml:space="preserve">OPAH</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de ruralité</w:t>
      </w:r>
    </w:p>
    <w:p>
      <w:pPr>
        <w:numPr>
          <w:ilvl w:val="0"/>
          <w:numId w:val="1003"/>
        </w:numPr>
        <w:pStyle w:val="Compact"/>
      </w:pPr>
      <w:r>
        <w:t xml:space="preserve">Petite ville de demain</w:t>
      </w:r>
    </w:p>
    <w:p>
      <w:pPr>
        <w:numPr>
          <w:ilvl w:val="0"/>
          <w:numId w:val="1003"/>
        </w:numPr>
        <w:pStyle w:val="Compact"/>
      </w:pPr>
      <w:r>
        <w:t xml:space="preserve">Programme de renouvellement urbain</w:t>
      </w:r>
    </w:p>
    <w:p>
      <w:pPr>
        <w:numPr>
          <w:ilvl w:val="0"/>
          <w:numId w:val="1003"/>
        </w:numPr>
        <w:pStyle w:val="Compact"/>
      </w:pPr>
      <w:r>
        <w:t xml:space="preserve">Contrat local de Santé</w:t>
      </w:r>
    </w:p>
    <w:p>
      <w:pPr>
        <w:numPr>
          <w:ilvl w:val="0"/>
          <w:numId w:val="1003"/>
        </w:numPr>
        <w:pStyle w:val="Compact"/>
      </w:pPr>
      <w:r>
        <w:t xml:space="preserve">Contrat territorial d’éducation artistique et culturelle (CTEAC)</w:t>
      </w:r>
    </w:p>
    <w:p>
      <w:pPr>
        <w:numPr>
          <w:ilvl w:val="0"/>
          <w:numId w:val="1003"/>
        </w:numPr>
        <w:pStyle w:val="Compact"/>
      </w:pPr>
      <w:r>
        <w:t xml:space="preserve">Contrat agence de l’eau</w:t>
      </w:r>
    </w:p>
    <w:p>
      <w:pPr>
        <w:pStyle w:val="FirstParagraph"/>
      </w:pPr>
      <w:r>
        <w:t xml:space="preserve">Liste des programmes de l’ANCT intégrés : Petits villes de demain</w:t>
      </w:r>
    </w:p>
    <w:p>
      <w:pPr>
        <w:pStyle w:val="TextBody"/>
      </w:pPr>
      <w:r>
        <w:t xml:space="preserve">Liste des orientations stratégiques, axes, ambitions, volets, objectifs… :</w:t>
      </w:r>
    </w:p>
    <w:p>
      <w:pPr>
        <w:numPr>
          <w:ilvl w:val="0"/>
          <w:numId w:val="1004"/>
        </w:numPr>
        <w:pStyle w:val="Compact"/>
      </w:pPr>
      <w:r>
        <w:t xml:space="preserve">Logement : un parc ancien à rénover et à adapter</w:t>
      </w:r>
    </w:p>
    <w:p>
      <w:pPr>
        <w:numPr>
          <w:ilvl w:val="0"/>
          <w:numId w:val="1004"/>
        </w:numPr>
        <w:pStyle w:val="Compact"/>
      </w:pPr>
      <w:r>
        <w:t xml:space="preserve">Mobilité : vers des modes de déplacements partagés et solidaires</w:t>
      </w:r>
    </w:p>
    <w:p>
      <w:pPr>
        <w:numPr>
          <w:ilvl w:val="0"/>
          <w:numId w:val="1004"/>
        </w:numPr>
        <w:pStyle w:val="Compact"/>
      </w:pPr>
      <w:r>
        <w:t xml:space="preserve">Services à la population et santé : garantir l’accès aux services et aux soins partout et pour tous</w:t>
      </w:r>
    </w:p>
    <w:p>
      <w:pPr>
        <w:numPr>
          <w:ilvl w:val="0"/>
          <w:numId w:val="1004"/>
        </w:numPr>
        <w:pStyle w:val="Compact"/>
      </w:pPr>
      <w:r>
        <w:t xml:space="preserve">Energies renouvelables : un fort potentiel à exploiter et un enjeu d’aménagement du territoire</w:t>
      </w:r>
    </w:p>
    <w:p>
      <w:pPr>
        <w:numPr>
          <w:ilvl w:val="0"/>
          <w:numId w:val="1004"/>
        </w:numPr>
        <w:pStyle w:val="Compact"/>
      </w:pPr>
      <w:r>
        <w:t xml:space="preserve">Agriculture : vers une adaptation des pratiques</w:t>
      </w:r>
    </w:p>
    <w:p>
      <w:pPr>
        <w:numPr>
          <w:ilvl w:val="0"/>
          <w:numId w:val="1004"/>
        </w:numPr>
        <w:pStyle w:val="Compact"/>
      </w:pPr>
      <w:r>
        <w:t xml:space="preserve">Alimentation : prioriser le local et la qualité</w:t>
      </w:r>
    </w:p>
    <w:p>
      <w:pPr>
        <w:numPr>
          <w:ilvl w:val="0"/>
          <w:numId w:val="1004"/>
        </w:numPr>
        <w:pStyle w:val="Compact"/>
      </w:pPr>
      <w:r>
        <w:t xml:space="preserve">Ressource en eau et espaces naturels : une richesse à préserver</w:t>
      </w:r>
    </w:p>
    <w:p>
      <w:pPr>
        <w:numPr>
          <w:ilvl w:val="0"/>
          <w:numId w:val="1004"/>
        </w:numPr>
        <w:pStyle w:val="Compact"/>
      </w:pPr>
      <w:r>
        <w:t xml:space="preserve">Déchets : tous mobilisés pour moins jeter et mieux revaloriser</w:t>
      </w:r>
    </w:p>
    <w:p>
      <w:pPr>
        <w:numPr>
          <w:ilvl w:val="0"/>
          <w:numId w:val="1004"/>
        </w:numPr>
        <w:pStyle w:val="Compact"/>
      </w:pPr>
      <w:r>
        <w:t xml:space="preserve">Entreprises : conforter la transition déjà engagée</w:t>
      </w:r>
    </w:p>
    <w:p>
      <w:pPr>
        <w:numPr>
          <w:ilvl w:val="0"/>
          <w:numId w:val="1004"/>
        </w:numPr>
        <w:pStyle w:val="Compact"/>
      </w:pPr>
      <w:r>
        <w:t xml:space="preserve">Collectivités : être exemplaire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Restauration et alimentation durable</w:t>
      </w:r>
    </w:p>
    <w:p>
      <w:pPr>
        <w:numPr>
          <w:ilvl w:val="0"/>
          <w:numId w:val="1005"/>
        </w:numPr>
        <w:pStyle w:val="Compact"/>
      </w:pPr>
      <w:r>
        <w:t xml:space="preserve">Gestion, valorisation des déchets, réemploi</w:t>
      </w:r>
    </w:p>
    <w:p>
      <w:pPr>
        <w:numPr>
          <w:ilvl w:val="0"/>
          <w:numId w:val="1005"/>
        </w:numPr>
        <w:pStyle w:val="Compact"/>
      </w:pPr>
      <w:r>
        <w:t xml:space="preserve">Infrastructure(s) et réseaux (numérique, eau,chaleur…)</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Production d’énergies renouvelables</w:t>
      </w:r>
    </w:p>
    <w:p>
      <w:pPr>
        <w:numPr>
          <w:ilvl w:val="0"/>
          <w:numId w:val="1005"/>
        </w:numPr>
        <w:pStyle w:val="Compact"/>
      </w:pPr>
      <w:r>
        <w:t xml:space="preserve">Efficacité énergétique</w:t>
      </w:r>
    </w:p>
    <w:p>
      <w:pPr>
        <w:numPr>
          <w:ilvl w:val="0"/>
          <w:numId w:val="1005"/>
        </w:numPr>
        <w:pStyle w:val="Compact"/>
      </w:pPr>
      <w:r>
        <w:t xml:space="preserve">Réseaux verts et intelligents</w:t>
      </w:r>
    </w:p>
    <w:p>
      <w:pPr>
        <w:numPr>
          <w:ilvl w:val="0"/>
          <w:numId w:val="1005"/>
        </w:numPr>
        <w:pStyle w:val="Compact"/>
      </w:pPr>
      <w:r>
        <w:t xml:space="preserve">Vivre ensemble, interdépendance et solidarité</w:t>
      </w:r>
    </w:p>
    <w:p>
      <w:pPr>
        <w:numPr>
          <w:ilvl w:val="0"/>
          <w:numId w:val="1005"/>
        </w:numPr>
        <w:pStyle w:val="Compact"/>
      </w:pPr>
      <w:r>
        <w:t xml:space="preserve">Sûreté et sécurité</w:t>
      </w:r>
    </w:p>
    <w:p>
      <w:pPr>
        <w:numPr>
          <w:ilvl w:val="0"/>
          <w:numId w:val="1005"/>
        </w:numPr>
        <w:pStyle w:val="Compact"/>
      </w:pPr>
      <w:r>
        <w:t xml:space="preserve">Tourisme durable</w:t>
      </w:r>
    </w:p>
    <w:p>
      <w:pPr>
        <w:numPr>
          <w:ilvl w:val="0"/>
          <w:numId w:val="1005"/>
        </w:numPr>
        <w:pStyle w:val="Compact"/>
      </w:pPr>
      <w:r>
        <w:t xml:space="preserve">Opération de requalification (friches…)</w:t>
      </w:r>
    </w:p>
    <w:p>
      <w:pPr>
        <w:numPr>
          <w:ilvl w:val="0"/>
          <w:numId w:val="1005"/>
        </w:numPr>
        <w:pStyle w:val="Compact"/>
      </w:pPr>
      <w:r>
        <w:t xml:space="preserve">Organisation des déplacements</w:t>
      </w:r>
    </w:p>
    <w:p>
      <w:pPr>
        <w:numPr>
          <w:ilvl w:val="0"/>
          <w:numId w:val="1005"/>
        </w:numPr>
        <w:pStyle w:val="Compact"/>
      </w:pPr>
      <w:r>
        <w:t xml:space="preserve">Mobilités douces</w:t>
      </w:r>
    </w:p>
    <w:p>
      <w:pPr>
        <w:numPr>
          <w:ilvl w:val="0"/>
          <w:numId w:val="1005"/>
        </w:numPr>
        <w:pStyle w:val="Compact"/>
      </w:pPr>
      <w:r>
        <w:t xml:space="preserve">Transports en commun</w:t>
      </w:r>
    </w:p>
    <w:p>
      <w:pPr>
        <w:numPr>
          <w:ilvl w:val="0"/>
          <w:numId w:val="1005"/>
        </w:numPr>
        <w:pStyle w:val="Compact"/>
      </w:pPr>
      <w:r>
        <w:t xml:space="preserve">Usages et inclusion numériques</w:t>
      </w:r>
    </w:p>
    <w:p>
      <w:pPr>
        <w:numPr>
          <w:ilvl w:val="0"/>
          <w:numId w:val="1005"/>
        </w:numPr>
        <w:pStyle w:val="Compact"/>
      </w:pPr>
      <w:r>
        <w:t xml:space="preserve">Santé et soins</w:t>
      </w:r>
    </w:p>
    <w:p>
      <w:pPr>
        <w:numPr>
          <w:ilvl w:val="0"/>
          <w:numId w:val="1005"/>
        </w:numPr>
        <w:pStyle w:val="Compact"/>
      </w:pPr>
      <w:r>
        <w:t xml:space="preserve">Loisirs</w:t>
      </w:r>
    </w:p>
    <w:p>
      <w:pPr>
        <w:numPr>
          <w:ilvl w:val="0"/>
          <w:numId w:val="1005"/>
        </w:numPr>
        <w:pStyle w:val="Compact"/>
      </w:pPr>
      <w:r>
        <w:t xml:space="preserve">Education</w:t>
      </w:r>
    </w:p>
    <w:p>
      <w:pPr>
        <w:numPr>
          <w:ilvl w:val="0"/>
          <w:numId w:val="1005"/>
        </w:numPr>
        <w:pStyle w:val="Compact"/>
      </w:pPr>
      <w:r>
        <w:t xml:space="preserve">Sport</w:t>
      </w:r>
    </w:p>
    <w:p>
      <w:pPr>
        <w:numPr>
          <w:ilvl w:val="0"/>
          <w:numId w:val="1005"/>
        </w:numPr>
        <w:pStyle w:val="Compact"/>
      </w:pPr>
      <w:r>
        <w:t xml:space="preserve">Culture et patrimoine</w:t>
      </w:r>
    </w:p>
    <w:p>
      <w:pPr>
        <w:numPr>
          <w:ilvl w:val="0"/>
          <w:numId w:val="1005"/>
        </w:numPr>
        <w:pStyle w:val="Compact"/>
      </w:pPr>
      <w:r>
        <w:t xml:space="preserve">Espaces publics, espaces verts</w:t>
      </w:r>
    </w:p>
    <w:p>
      <w:pPr>
        <w:numPr>
          <w:ilvl w:val="0"/>
          <w:numId w:val="1005"/>
        </w:numPr>
        <w:pStyle w:val="Compact"/>
      </w:pPr>
      <w:r>
        <w:t xml:space="preserve">Extension urbaine maîtrisée</w:t>
      </w:r>
    </w:p>
    <w:p>
      <w:pPr>
        <w:numPr>
          <w:ilvl w:val="0"/>
          <w:numId w:val="1005"/>
        </w:numPr>
        <w:pStyle w:val="Compact"/>
      </w:pPr>
      <w:r>
        <w:t xml:space="preserve">Commerce, artisanat de proximité</w:t>
      </w:r>
    </w:p>
    <w:p>
      <w:pPr>
        <w:pStyle w:val="FirstParagraph"/>
      </w:pPr>
      <w:r>
        <w:t xml:space="preserve">Nombre de fiches action (opération prête à démarrer) : 43</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DDT</w:t>
      </w:r>
    </w:p>
    <w:p>
      <w:pPr>
        <w:numPr>
          <w:ilvl w:val="0"/>
          <w:numId w:val="1006"/>
        </w:numPr>
        <w:pStyle w:val="Compact"/>
      </w:pPr>
      <w:r>
        <w:t xml:space="preserve">Nom: Auvergne-Rhône-Alpes, nature: region, SIREN: 84</w:t>
      </w:r>
    </w:p>
    <w:p>
      <w:pPr>
        <w:numPr>
          <w:ilvl w:val="0"/>
          <w:numId w:val="1006"/>
        </w:numPr>
        <w:pStyle w:val="Compact"/>
      </w:pPr>
      <w:r>
        <w:t xml:space="preserve">Nom: CC Porte de Dromardèche, nature: CC, SIREN: 200040491</w:t>
      </w:r>
    </w:p>
    <w:p>
      <w:pPr>
        <w:numPr>
          <w:ilvl w:val="0"/>
          <w:numId w:val="1006"/>
        </w:numPr>
        <w:pStyle w:val="Compact"/>
      </w:pPr>
      <w:r>
        <w:t xml:space="preserve">Partenaires</w:t>
      </w:r>
    </w:p>
    <w:p>
      <w:pPr>
        <w:numPr>
          <w:ilvl w:val="0"/>
          <w:numId w:val="1006"/>
        </w:numPr>
        <w:pStyle w:val="Compact"/>
      </w:pPr>
      <w:r>
        <w:t xml:space="preserve">Nom: Drôme, nature: departement, SIREN: 26</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Direction régionale alimentation agriculture forêt, Direction départementale des territoires de la Drôme, Chambre d’agriculture du Rhône, Département de la Drôme, Agribio-drôme, Union européenne, Agence de l’environnement et de la maitrise de l’énergie, Syndicats d’énergie, SPPEH, SCARA-Conseil, Agence de l’eau, ENEDIS, GRDF, CNR, Etat (DETR, DSIL), SDED, La Poste, MSA, Pôle emploi, Ministère de la Justice, Caisse des dépôts, SNCF, PMI, Mutualité sociale et agricole, Caisse des allocations familliales, CAMSP, Hôpitaux Drôme Nord, Agence régionale de santé, CAUE, Département de l’Ardèche, Habitat Dauphinois, Chambre de commerce et d’industrie, SDEA, CEE, ANAH 26, ANAH 07, Caisses de retraites, SOLIHA, et SAGE</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7"/>
        </w:numPr>
        <w:pStyle w:val="Compact"/>
      </w:pPr>
      <w:r>
        <w:t xml:space="preserve">Agence d’urbanisme</w:t>
      </w:r>
    </w:p>
    <w:p>
      <w:pPr>
        <w:numPr>
          <w:ilvl w:val="0"/>
          <w:numId w:val="1007"/>
        </w:numPr>
        <w:pStyle w:val="Compact"/>
      </w:pPr>
      <w:r>
        <w:t xml:space="preserve">CAUE</w:t>
      </w:r>
    </w:p>
    <w:p>
      <w:pPr>
        <w:numPr>
          <w:ilvl w:val="0"/>
          <w:numId w:val="1007"/>
        </w:numPr>
        <w:pStyle w:val="Compact"/>
      </w:pPr>
      <w:r>
        <w:t xml:space="preserve">Agence technique départementale</w:t>
      </w:r>
    </w:p>
    <w:p>
      <w:pPr>
        <w:pStyle w:val="FirstParagraph"/>
      </w:pPr>
      <w:r>
        <w:t xml:space="preserve">Mobilisation d’une ingénierie externe :</w:t>
      </w:r>
    </w:p>
    <w:p>
      <w:pPr>
        <w:numPr>
          <w:ilvl w:val="0"/>
          <w:numId w:val="1008"/>
        </w:numPr>
        <w:pStyle w:val="Compact"/>
      </w:pPr>
      <w:r>
        <w:t xml:space="preserve">ADEME</w:t>
      </w:r>
    </w:p>
    <w:p>
      <w:pPr>
        <w:numPr>
          <w:ilvl w:val="0"/>
          <w:numId w:val="1008"/>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33.76M€</w:t>
      </w:r>
    </w:p>
    <w:p>
      <w:pPr>
        <w:pStyle w:val="TextBody"/>
      </w:pPr>
      <w:r>
        <w:t xml:space="preserve">Montant total en euros des engagements financiers des collectivités locales et leurs établissements publics : 449 212€</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1.03M€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2022-05-06T15:22:29Z</dcterms:created>
  <dcterms:modified xsi:type="dcterms:W3CDTF">2022-05-06T15:22:29Z</dcterms:modified>
</cp:coreProperties>
</file>

<file path=docProps/custom.xml><?xml version="1.0" encoding="utf-8"?>
<Properties xmlns="http://schemas.openxmlformats.org/officeDocument/2006/custom-properties" xmlns:vt="http://schemas.openxmlformats.org/officeDocument/2006/docPropsVTypes"/>
</file>