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Le Grand Périgueux</w:t>
      </w:r>
    </w:p>
    <w:p>
      <w:pPr>
        <w:pStyle w:val="TextBody"/>
      </w:pPr>
      <w:r>
        <w:t xml:space="preserve">Si protocole de préfiguration : date de signature : 19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Le Grand Périgueux, nature: CA, SIREN: 200040392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PLUI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1"/>
        </w:numPr>
        <w:pStyle w:val="Compact"/>
      </w:pPr>
      <w:r>
        <w:t xml:space="preserve">Convention globale CAF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Améliorer l’offre de déplacements multimodaux</w:t>
      </w:r>
    </w:p>
    <w:p>
      <w:pPr>
        <w:numPr>
          <w:ilvl w:val="0"/>
          <w:numId w:val="1003"/>
        </w:numPr>
        <w:pStyle w:val="Compact"/>
      </w:pPr>
      <w:r>
        <w:t xml:space="preserve">Améliorer l’accès au numérque</w:t>
      </w:r>
    </w:p>
    <w:p>
      <w:pPr>
        <w:numPr>
          <w:ilvl w:val="0"/>
          <w:numId w:val="1003"/>
        </w:numPr>
        <w:pStyle w:val="Compact"/>
      </w:pPr>
      <w:r>
        <w:t xml:space="preserve">Développer les mobilités douces</w:t>
      </w:r>
    </w:p>
    <w:p>
      <w:pPr>
        <w:numPr>
          <w:ilvl w:val="0"/>
          <w:numId w:val="1003"/>
        </w:numPr>
        <w:pStyle w:val="Compact"/>
      </w:pPr>
      <w:r>
        <w:t xml:space="preserve">Renforcer l’attractivité économique par le soutien à l’innovation et aux filières existantes</w:t>
      </w:r>
    </w:p>
    <w:p>
      <w:pPr>
        <w:numPr>
          <w:ilvl w:val="0"/>
          <w:numId w:val="1003"/>
        </w:numPr>
        <w:pStyle w:val="Compact"/>
      </w:pPr>
      <w:r>
        <w:t xml:space="preserve">Agir pour le développement et la reconquête commerciale</w:t>
      </w:r>
    </w:p>
    <w:p>
      <w:pPr>
        <w:numPr>
          <w:ilvl w:val="0"/>
          <w:numId w:val="1003"/>
        </w:numPr>
        <w:pStyle w:val="Compact"/>
      </w:pPr>
      <w:r>
        <w:t xml:space="preserve">Renforcer les compétences au service de l’emploi et de l’insertion</w:t>
      </w:r>
    </w:p>
    <w:p>
      <w:pPr>
        <w:numPr>
          <w:ilvl w:val="0"/>
          <w:numId w:val="1003"/>
        </w:numPr>
        <w:pStyle w:val="Compact"/>
      </w:pPr>
      <w:r>
        <w:t xml:space="preserve">Développer le tourisme durable</w:t>
      </w:r>
    </w:p>
    <w:p>
      <w:pPr>
        <w:numPr>
          <w:ilvl w:val="0"/>
          <w:numId w:val="1003"/>
        </w:numPr>
        <w:pStyle w:val="Compact"/>
      </w:pPr>
      <w:r>
        <w:t xml:space="preserve">Réduire l’impact environnemental et soutenir l’économie circulaire</w:t>
      </w:r>
    </w:p>
    <w:p>
      <w:pPr>
        <w:numPr>
          <w:ilvl w:val="0"/>
          <w:numId w:val="1003"/>
        </w:numPr>
        <w:pStyle w:val="Compact"/>
      </w:pPr>
      <w:r>
        <w:t xml:space="preserve">Soutenir la performance environnementale du domaine public</w:t>
      </w:r>
    </w:p>
    <w:p>
      <w:pPr>
        <w:numPr>
          <w:ilvl w:val="0"/>
          <w:numId w:val="1003"/>
        </w:numPr>
        <w:pStyle w:val="Compact"/>
      </w:pPr>
      <w:r>
        <w:t xml:space="preserve">Préserver les ressources naturelles du territoire</w:t>
      </w:r>
    </w:p>
    <w:p>
      <w:pPr>
        <w:numPr>
          <w:ilvl w:val="0"/>
          <w:numId w:val="1003"/>
        </w:numPr>
        <w:pStyle w:val="Compact"/>
      </w:pPr>
      <w:r>
        <w:t xml:space="preserve">Agir pour une agriculture et une alimentation durables</w:t>
      </w:r>
    </w:p>
    <w:p>
      <w:pPr>
        <w:numPr>
          <w:ilvl w:val="0"/>
          <w:numId w:val="1003"/>
        </w:numPr>
        <w:pStyle w:val="Compact"/>
      </w:pPr>
      <w:r>
        <w:t xml:space="preserve">Agir collectivement en faveur des territoires fragilisés</w:t>
      </w:r>
    </w:p>
    <w:p>
      <w:pPr>
        <w:numPr>
          <w:ilvl w:val="0"/>
          <w:numId w:val="1003"/>
        </w:numPr>
        <w:pStyle w:val="Compact"/>
      </w:pPr>
      <w:r>
        <w:t xml:space="preserve">Favoriser un habitat solidaire, attractif et durable</w:t>
      </w:r>
    </w:p>
    <w:p>
      <w:pPr>
        <w:numPr>
          <w:ilvl w:val="0"/>
          <w:numId w:val="1003"/>
        </w:numPr>
        <w:pStyle w:val="Compact"/>
      </w:pPr>
      <w:r>
        <w:t xml:space="preserve">Développer l’accès à la culture, au sport et aux activités de loisirs</w:t>
      </w:r>
    </w:p>
    <w:p>
      <w:pPr>
        <w:numPr>
          <w:ilvl w:val="0"/>
          <w:numId w:val="1003"/>
        </w:numPr>
        <w:pStyle w:val="Compact"/>
      </w:pPr>
      <w:r>
        <w:t xml:space="preserve">Renforcer le maillage du territoire en services de première nécessité</w:t>
      </w:r>
    </w:p>
    <w:p>
      <w:pPr>
        <w:numPr>
          <w:ilvl w:val="0"/>
          <w:numId w:val="1003"/>
        </w:numPr>
        <w:pStyle w:val="Compact"/>
      </w:pPr>
      <w:r>
        <w:t xml:space="preserve">Développer l’animation sociale et l’implication habitante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645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Président de la CA LGP</w:t>
      </w:r>
    </w:p>
    <w:p>
      <w:pPr>
        <w:numPr>
          <w:ilvl w:val="0"/>
          <w:numId w:val="1005"/>
        </w:numPr>
        <w:pStyle w:val="Compact"/>
      </w:pPr>
      <w:r>
        <w:t xml:space="preserve">DDT</w:t>
      </w:r>
    </w:p>
    <w:p>
      <w:pPr>
        <w:numPr>
          <w:ilvl w:val="0"/>
          <w:numId w:val="1005"/>
        </w:numPr>
        <w:pStyle w:val="Compact"/>
      </w:pPr>
      <w:r>
        <w:t xml:space="preserve">DDETSPP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Agence Eau Adour-Garonne</w:t>
      </w:r>
    </w:p>
    <w:p>
      <w:pPr>
        <w:numPr>
          <w:ilvl w:val="0"/>
          <w:numId w:val="1005"/>
        </w:numPr>
        <w:pStyle w:val="Compact"/>
      </w:pPr>
      <w:r>
        <w:t xml:space="preserve">CEREMA</w:t>
      </w:r>
    </w:p>
    <w:p>
      <w:pPr>
        <w:numPr>
          <w:ilvl w:val="0"/>
          <w:numId w:val="1005"/>
        </w:numPr>
        <w:pStyle w:val="Compact"/>
      </w:pPr>
      <w:r>
        <w:t xml:space="preserve">Nom: Dordogne, nature: departement, SIREN: 24</w:t>
      </w:r>
    </w:p>
    <w:p>
      <w:pPr>
        <w:numPr>
          <w:ilvl w:val="0"/>
          <w:numId w:val="1005"/>
        </w:numPr>
        <w:pStyle w:val="Compact"/>
      </w:pPr>
      <w:r>
        <w:t xml:space="preserve">Nom: Nouvelle-Aquitaine, nature: region, SIREN: 75</w:t>
      </w:r>
    </w:p>
    <w:p>
      <w:pPr>
        <w:numPr>
          <w:ilvl w:val="0"/>
          <w:numId w:val="1005"/>
        </w:numPr>
        <w:pStyle w:val="Compact"/>
      </w:pPr>
      <w:r>
        <w:t xml:space="preserve">DRAC Nouvelle-Aquitaine</w:t>
      </w:r>
    </w:p>
    <w:p>
      <w:pPr>
        <w:numPr>
          <w:ilvl w:val="0"/>
          <w:numId w:val="1005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Chambres consulaires, Pays de l’Isle en Périgord, Banque des Territoires, et Dordogne Habitat</w:t>
      </w:r>
    </w:p>
    <w:p>
      <w:pPr>
        <w:pStyle w:val="TextBody"/>
      </w:pPr>
      <w:r>
        <w:t xml:space="preserve">Démarches de co-construction du CRTE : Consultation publique/citoyenne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463.00M€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