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Portes de la Creuse en Marche</w:t>
      </w:r>
    </w:p>
    <w:p>
      <w:pPr>
        <w:pStyle w:val="TextBody"/>
      </w:pPr>
      <w:r>
        <w:t xml:space="preserve">Si protocole de préfiguration : date de signature : 20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Nom: CC Portes de la Creuse en Marche, nature: CC, SIREN: 200041556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1. S’engager pour une économie locale dynamique, créatrice d’emplois, attractive et durable</w:t>
      </w:r>
    </w:p>
    <w:p>
      <w:pPr>
        <w:numPr>
          <w:ilvl w:val="0"/>
          <w:numId w:val="1003"/>
        </w:numPr>
        <w:pStyle w:val="Compact"/>
      </w:pPr>
      <w:r>
        <w:t xml:space="preserve">Axe 2. S’engager pour un territoire solidaire où l’on habite durablement</w:t>
      </w:r>
    </w:p>
    <w:p>
      <w:pPr>
        <w:numPr>
          <w:ilvl w:val="0"/>
          <w:numId w:val="1003"/>
        </w:numPr>
        <w:pStyle w:val="Compact"/>
      </w:pPr>
      <w:r>
        <w:t xml:space="preserve">Axe 3. S’engager collectivement pour relever le défi de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62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5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5"/>
        </w:numPr>
        <w:pStyle w:val="Compact"/>
      </w:pPr>
      <w:r>
        <w:t xml:space="preserve">des services de l’État</w:t>
      </w:r>
    </w:p>
    <w:p>
      <w:pPr>
        <w:numPr>
          <w:ilvl w:val="0"/>
          <w:numId w:val="1005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5"/>
        </w:numPr>
        <w:pStyle w:val="Compact"/>
      </w:pPr>
      <w:r>
        <w:t xml:space="preserve">Nom: CC Portes de la Creuse en Marche, nature: CC, SIREN: 200041556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GAL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32 825€</w:t>
      </w:r>
    </w:p>
    <w:p>
      <w:pPr>
        <w:pStyle w:val="TextBody"/>
      </w:pPr>
      <w:r>
        <w:t xml:space="preserve">Montant total prévisionnel en euros des actions en dépenses d’investissement : 3.74M€</w:t>
      </w:r>
    </w:p>
    <w:p>
      <w:pPr>
        <w:pStyle w:val="TextBody"/>
      </w:pPr>
      <w:r>
        <w:t xml:space="preserve">Montant total en euros des engagements financiers des collectivités locales et leurs établissements publics : 1.33M€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2.41M€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