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30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d’Aunis Sud</w:t>
      </w:r>
    </w:p>
    <w:p>
      <w:pPr>
        <w:pStyle w:val="TextBody"/>
      </w:pPr>
      <w:r>
        <w:t xml:space="preserve">Si protocole de préfiguration : date de signature : 21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Aunis Sud, nature: CC, SIREN: 200041614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SARE-CR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PLPDMA-Cyclad</w:t>
      </w:r>
    </w:p>
    <w:p>
      <w:pPr>
        <w:numPr>
          <w:ilvl w:val="0"/>
          <w:numId w:val="1002"/>
        </w:numPr>
        <w:pStyle w:val="Compact"/>
      </w:pPr>
      <w:r>
        <w:t xml:space="preserve">Contrat Re-sources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Orientaion n°2 : Cohesion sociale : Un territoire attentif aux besoins de chacun</w:t>
      </w:r>
    </w:p>
    <w:p>
      <w:pPr>
        <w:numPr>
          <w:ilvl w:val="0"/>
          <w:numId w:val="1004"/>
        </w:numPr>
        <w:pStyle w:val="Compact"/>
      </w:pPr>
      <w:r>
        <w:t xml:space="preserve">Orientation1 : Attractivité : accueillir les entreprises, les talents et les touristes</w:t>
      </w:r>
    </w:p>
    <w:p>
      <w:pPr>
        <w:numPr>
          <w:ilvl w:val="0"/>
          <w:numId w:val="1004"/>
        </w:numPr>
        <w:pStyle w:val="Compact"/>
      </w:pPr>
      <w:r>
        <w:t xml:space="preserve">Orientaton n°3 :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TextBody"/>
      </w:pPr>
      <w:r>
        <w:t xml:space="preserve">Nombre de fiches projet (opération à travailler) : 89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Cyclad et Conseil de developpement</w:t>
      </w:r>
    </w:p>
    <w:p>
      <w:pPr>
        <w:pStyle w:val="TextBody"/>
      </w:pPr>
      <w:r>
        <w:t xml:space="preserve">Démarches de co-construction du CRTE : Consultation publique/citoyenne,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