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07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Haute saintonge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Haute Saintonge, nature: CC, SIREN: 200041523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convention ademe renivation energetique (CR)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Programme Nott(R)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 : valoriser la qualité de vie par une gestion équilibrée des ressources et de l’environnement</w:t>
      </w:r>
    </w:p>
    <w:p>
      <w:pPr>
        <w:numPr>
          <w:ilvl w:val="0"/>
          <w:numId w:val="1003"/>
        </w:numPr>
        <w:pStyle w:val="Compact"/>
      </w:pPr>
      <w:r>
        <w:t xml:space="preserve">Orientation n°2 : attractivité économique</w:t>
      </w:r>
    </w:p>
    <w:p>
      <w:pPr>
        <w:numPr>
          <w:ilvl w:val="0"/>
          <w:numId w:val="1003"/>
        </w:numPr>
        <w:pStyle w:val="Compact"/>
      </w:pPr>
      <w:r>
        <w:t xml:space="preserve">Orientation n°3 : attractivité touristique et résidentielle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TextBody"/>
      </w:pPr>
      <w:r>
        <w:t xml:space="preserve">Nombre de fiches projet (opération à travailler) : 326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348 000€</w:t>
      </w:r>
    </w:p>
    <w:p>
      <w:pPr>
        <w:pStyle w:val="TextBody"/>
      </w:pPr>
      <w:r>
        <w:t xml:space="preserve">Montant total prévisionnel en euros des actions en dépenses d’investissement : 11.58M€</w:t>
      </w:r>
    </w:p>
    <w:p>
      <w:pPr>
        <w:pStyle w:val="TextBody"/>
      </w:pPr>
      <w:r>
        <w:t xml:space="preserve">Montant total en euros des engagements financiers des collectivités locales et leurs établissements publics : 3.94M€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691 677€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