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TextBody"/>
      </w:pPr>
      <w:r>
        <w:t xml:space="preserve">Date de signature du CRTE : 20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coeur de saintonge</w:t>
      </w:r>
    </w:p>
    <w:p>
      <w:pPr>
        <w:pStyle w:val="TextBody"/>
      </w:pPr>
      <w:r>
        <w:t xml:space="preserve">Si protocole de préfiguration : date de signature : 16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Coeur de Saintonge, nature: CC, SIREN: 241700517</w:t>
      </w:r>
    </w:p>
    <w:p>
      <w:pPr>
        <w:numPr>
          <w:ilvl w:val="0"/>
          <w:numId w:val="1001"/>
        </w:numPr>
        <w:pStyle w:val="Compact"/>
      </w:pPr>
      <w:r>
        <w:t xml:space="preserve">Nom: Saint-Porchaire, nature: commune, SIREN: 17387</w:t>
      </w:r>
    </w:p>
    <w:p>
      <w:pPr>
        <w:numPr>
          <w:ilvl w:val="0"/>
          <w:numId w:val="1001"/>
        </w:numPr>
        <w:pStyle w:val="Compact"/>
      </w:pPr>
      <w:r>
        <w:t xml:space="preserve">Nom: Pont-l’Abbé-d’Arnoult, nature: commune, SIREN: 17284</w:t>
      </w:r>
    </w:p>
    <w:p>
      <w:pPr>
        <w:numPr>
          <w:ilvl w:val="0"/>
          <w:numId w:val="1001"/>
        </w:numPr>
        <w:pStyle w:val="Compact"/>
      </w:pPr>
      <w:r>
        <w:t xml:space="preserve">Nom: Charente-Maritime, nature: departement, SIREN: 17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re-source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TextBody"/>
      </w:pPr>
      <w:r>
        <w:t xml:space="preserve">Nombre de fiches projet (opération à travailler) : 81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7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2022-05-06T15:22:20Z</dcterms:created>
  <dcterms:modified xsi:type="dcterms:W3CDTF">2022-05-06T15:22:20Z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