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pref-crte@charente-maritime.gouv.fr</w:t>
      </w:r>
    </w:p>
    <w:p>
      <w:pPr>
        <w:pStyle w:val="TextBody"/>
      </w:pPr>
      <w:r>
        <w:t xml:space="preserve">Date de signature du CRTE : 14 octobre 2021</w:t>
      </w:r>
    </w:p>
    <w:p>
      <w:pPr>
        <w:pStyle w:val="TextBody"/>
      </w:pPr>
      <w:r>
        <w:t xml:space="preserve">Nature juridique de la structure porteuse : Communauté d’Agglomération</w:t>
      </w:r>
    </w:p>
    <w:p>
      <w:pPr>
        <w:pStyle w:val="TextBody"/>
      </w:pPr>
      <w:r>
        <w:t xml:space="preserve">Nom de la structure porteuse : Communauté d’Agglomération de Rochefort Océan</w:t>
      </w:r>
    </w:p>
    <w:p>
      <w:pPr>
        <w:pStyle w:val="TextBody"/>
      </w:pPr>
      <w:r>
        <w:t xml:space="preserve">Si protocole de préfiguration : date de signature : 01 juillet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CA Rochefort Océan, nature: CA, SIREN: 200041762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1"/>
        </w:numPr>
        <w:pStyle w:val="Compact"/>
      </w:pPr>
      <w:r>
        <w:t xml:space="preserve">SCOT</w:t>
      </w:r>
    </w:p>
    <w:p>
      <w:pPr>
        <w:numPr>
          <w:ilvl w:val="0"/>
          <w:numId w:val="1001"/>
        </w:numPr>
        <w:pStyle w:val="Compact"/>
      </w:pPr>
      <w:r>
        <w:t xml:space="preserve">PAPI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Contrat de ville</w:t>
      </w:r>
    </w:p>
    <w:p>
      <w:pPr>
        <w:numPr>
          <w:ilvl w:val="0"/>
          <w:numId w:val="1002"/>
        </w:numPr>
        <w:pStyle w:val="Compact"/>
      </w:pPr>
      <w:r>
        <w:t xml:space="preserve">ORT</w:t>
      </w:r>
    </w:p>
    <w:p>
      <w:pPr>
        <w:numPr>
          <w:ilvl w:val="0"/>
          <w:numId w:val="1002"/>
        </w:numPr>
        <w:pStyle w:val="Compact"/>
      </w:pPr>
      <w:r>
        <w:t xml:space="preserve">LEADER</w:t>
      </w:r>
    </w:p>
    <w:p>
      <w:pPr>
        <w:numPr>
          <w:ilvl w:val="0"/>
          <w:numId w:val="1002"/>
        </w:numPr>
        <w:pStyle w:val="Compact"/>
      </w:pPr>
      <w:r>
        <w:t xml:space="preserve">OPAH</w:t>
      </w:r>
    </w:p>
    <w:p>
      <w:pPr>
        <w:numPr>
          <w:ilvl w:val="0"/>
          <w:numId w:val="1002"/>
        </w:numPr>
        <w:pStyle w:val="Compact"/>
      </w:pPr>
      <w:r>
        <w:t xml:space="preserve">Convention ANRU</w:t>
      </w:r>
    </w:p>
    <w:p>
      <w:pPr>
        <w:numPr>
          <w:ilvl w:val="0"/>
          <w:numId w:val="1002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2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2"/>
        </w:numPr>
        <w:pStyle w:val="Compact"/>
      </w:pPr>
      <w:r>
        <w:t xml:space="preserve">Contrat de dynamisation et de cohésion (CR)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Action cœur de ville</w:t>
      </w:r>
    </w:p>
    <w:p>
      <w:pPr>
        <w:numPr>
          <w:ilvl w:val="0"/>
          <w:numId w:val="1003"/>
        </w:numPr>
        <w:pStyle w:val="Compact"/>
      </w:pPr>
      <w:r>
        <w:t xml:space="preserve">Territoires d’industrie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Enjeu 1 : Créer une unité territoriale</w:t>
      </w:r>
    </w:p>
    <w:p>
      <w:pPr>
        <w:numPr>
          <w:ilvl w:val="0"/>
          <w:numId w:val="1004"/>
        </w:numPr>
        <w:pStyle w:val="Compact"/>
      </w:pPr>
      <w:r>
        <w:t xml:space="preserve">Enjeu 2 : Préserver et valoriser les ressources et les richesses du territoire</w:t>
      </w:r>
    </w:p>
    <w:p>
      <w:pPr>
        <w:numPr>
          <w:ilvl w:val="0"/>
          <w:numId w:val="1004"/>
        </w:numPr>
        <w:pStyle w:val="Compact"/>
      </w:pPr>
      <w:r>
        <w:t xml:space="preserve">Enjeu 3 : Innover et rayonner au-delà du territoire de la CARO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Logistique et Fret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Formation professionnelle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39</w:t>
      </w:r>
    </w:p>
    <w:p>
      <w:pPr>
        <w:pStyle w:val="TextBody"/>
      </w:pPr>
      <w:r>
        <w:t xml:space="preserve">Nombre de fiches projet (opération à travailler) : 49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TextBody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Oui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2.96M€</w:t>
      </w:r>
    </w:p>
    <w:p>
      <w:pPr>
        <w:pStyle w:val="TextBody"/>
      </w:pPr>
      <w:r>
        <w:t xml:space="preserve">Montant total prévisionnel en euros des actions en dépenses d’investissement : 198.92M€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2022-05-06T15:22:20Z</dcterms:created>
  <dcterms:modified xsi:type="dcterms:W3CDTF">2022-05-06T15:22:20Z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