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Grand Cognac</w:t>
      </w:r>
    </w:p>
    <w:p>
      <w:pPr>
        <w:pStyle w:val="TextBody"/>
      </w:pPr>
      <w:r>
        <w:t xml:space="preserve">Si protocole de préfiguration : date de signature : 07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CA du Grand Cognac, nature: CA, SIREN: 200070514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Contrat objectif territorial ADEME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Développer le territoire par une politique d’attractivité et d’accueil</w:t>
      </w:r>
    </w:p>
    <w:p>
      <w:pPr>
        <w:numPr>
          <w:ilvl w:val="0"/>
          <w:numId w:val="1004"/>
        </w:numPr>
        <w:pStyle w:val="Compact"/>
      </w:pPr>
      <w:r>
        <w:t xml:space="preserve">Renforcer le bien vivre sur le territoire</w:t>
      </w:r>
    </w:p>
    <w:p>
      <w:pPr>
        <w:numPr>
          <w:ilvl w:val="0"/>
          <w:numId w:val="1004"/>
        </w:numPr>
        <w:pStyle w:val="Compact"/>
      </w:pPr>
      <w:r>
        <w:t xml:space="preserve">Réinvestir les centralités et préserver les espaces naturels et agricoles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CA du Grand Cognac, nature: CA, SIREN: 200070514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ADEME et CEREMA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53.00M€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