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jean-francois.agnel@aveyron.gouv.fr ddt-sat@aveyron.gouv.fr</w:t>
      </w:r>
    </w:p>
    <w:p>
      <w:pPr>
        <w:pStyle w:val="TextBody"/>
      </w:pPr>
      <w:r>
        <w:t xml:space="preserve">Date de signature du CRTE : 20 décembre 2021</w:t>
      </w:r>
    </w:p>
    <w:p>
      <w:pPr>
        <w:pStyle w:val="TextBody"/>
      </w:pPr>
      <w:r>
        <w:t xml:space="preserve">Nature juridique de la structure porteuse : Parc naturel régional</w:t>
      </w:r>
    </w:p>
    <w:p>
      <w:pPr>
        <w:pStyle w:val="TextBody"/>
      </w:pPr>
      <w:r>
        <w:t xml:space="preserve">Nom de la structure porteuse : PNR des Grands Causses</w:t>
      </w:r>
    </w:p>
    <w:p>
      <w:pPr>
        <w:pStyle w:val="TextBody"/>
      </w:pPr>
      <w:r>
        <w:t xml:space="preserve">Si protocole de préfiguration : date de signature : 21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SM du Parc naturel régional des Grands Causses, nature: SMO, SIREN: 251201349</w:t>
      </w:r>
    </w:p>
    <w:p>
      <w:pPr>
        <w:numPr>
          <w:ilvl w:val="0"/>
          <w:numId w:val="1001"/>
        </w:numPr>
        <w:pStyle w:val="Compact"/>
      </w:pPr>
      <w:r>
        <w:t xml:space="preserve">Nom: Aveyron, nature: departement, SIREN: 12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charte du PNRGC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territorial Occitanie</w:t>
      </w:r>
    </w:p>
    <w:p>
      <w:pPr>
        <w:numPr>
          <w:ilvl w:val="0"/>
          <w:numId w:val="1003"/>
        </w:numPr>
        <w:pStyle w:val="Compact"/>
      </w:pPr>
      <w:r>
        <w:t xml:space="preserve">Grand site Occitanie</w:t>
      </w:r>
    </w:p>
    <w:p>
      <w:pPr>
        <w:numPr>
          <w:ilvl w:val="0"/>
          <w:numId w:val="1003"/>
        </w:numPr>
        <w:pStyle w:val="Compact"/>
      </w:pPr>
      <w:r>
        <w:t xml:space="preserve">Pôle pleine nature Massif Central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projet France Mobilité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1 - protéger</w:t>
      </w:r>
    </w:p>
    <w:p>
      <w:pPr>
        <w:numPr>
          <w:ilvl w:val="0"/>
          <w:numId w:val="1005"/>
        </w:numPr>
        <w:pStyle w:val="Compact"/>
      </w:pPr>
      <w:r>
        <w:t xml:space="preserve">Orientation 1 - protéger une biodiversité d’exception</w:t>
      </w:r>
    </w:p>
    <w:p>
      <w:pPr>
        <w:numPr>
          <w:ilvl w:val="0"/>
          <w:numId w:val="1005"/>
        </w:numPr>
        <w:pStyle w:val="Compact"/>
      </w:pPr>
      <w:r>
        <w:t xml:space="preserve">Orientation 2 - préserver la richesse paysagère</w:t>
      </w:r>
    </w:p>
    <w:p>
      <w:pPr>
        <w:numPr>
          <w:ilvl w:val="0"/>
          <w:numId w:val="1005"/>
        </w:numPr>
        <w:pStyle w:val="Compact"/>
      </w:pPr>
      <w:r>
        <w:t xml:space="preserve">Orientation 3 - sécuriser la ressource en eau</w:t>
      </w:r>
    </w:p>
    <w:p>
      <w:pPr>
        <w:numPr>
          <w:ilvl w:val="0"/>
          <w:numId w:val="1005"/>
        </w:numPr>
        <w:pStyle w:val="Compact"/>
      </w:pPr>
      <w:r>
        <w:t xml:space="preserve">Orientation 4 - valoriser les trésors géologiques</w:t>
      </w:r>
    </w:p>
    <w:p>
      <w:pPr>
        <w:numPr>
          <w:ilvl w:val="0"/>
          <w:numId w:val="1005"/>
        </w:numPr>
        <w:pStyle w:val="Compact"/>
      </w:pPr>
      <w:r>
        <w:t xml:space="preserve">Axe 2 - aménager</w:t>
      </w:r>
    </w:p>
    <w:p>
      <w:pPr>
        <w:numPr>
          <w:ilvl w:val="0"/>
          <w:numId w:val="1005"/>
        </w:numPr>
        <w:pStyle w:val="Compact"/>
      </w:pPr>
      <w:r>
        <w:t xml:space="preserve">Orientation 5 - construire un territoire à énergie positive</w:t>
      </w:r>
    </w:p>
    <w:p>
      <w:pPr>
        <w:numPr>
          <w:ilvl w:val="0"/>
          <w:numId w:val="1005"/>
        </w:numPr>
        <w:pStyle w:val="Compact"/>
      </w:pPr>
      <w:r>
        <w:t xml:space="preserve">Orientation 6 - se déplacer autrement</w:t>
      </w:r>
    </w:p>
    <w:p>
      <w:pPr>
        <w:numPr>
          <w:ilvl w:val="0"/>
          <w:numId w:val="1005"/>
        </w:numPr>
        <w:pStyle w:val="Compact"/>
      </w:pPr>
      <w:r>
        <w:t xml:space="preserve">Orientation 7 - renforcer la cohésion du territoire</w:t>
      </w:r>
    </w:p>
    <w:p>
      <w:pPr>
        <w:numPr>
          <w:ilvl w:val="0"/>
          <w:numId w:val="1005"/>
        </w:numPr>
        <w:pStyle w:val="Compact"/>
      </w:pPr>
      <w:r>
        <w:t xml:space="preserve">Axe 3 - développer</w:t>
      </w:r>
    </w:p>
    <w:p>
      <w:pPr>
        <w:numPr>
          <w:ilvl w:val="0"/>
          <w:numId w:val="1005"/>
        </w:numPr>
        <w:pStyle w:val="Compact"/>
      </w:pPr>
      <w:r>
        <w:t xml:space="preserve">Orientation 8 - accueillir de nouveaux habitants</w:t>
      </w:r>
    </w:p>
    <w:p>
      <w:pPr>
        <w:numPr>
          <w:ilvl w:val="0"/>
          <w:numId w:val="1005"/>
        </w:numPr>
        <w:pStyle w:val="Compact"/>
      </w:pPr>
      <w:r>
        <w:t xml:space="preserve">Orientation 9 - valoriser les ressources économiques locales</w:t>
      </w:r>
    </w:p>
    <w:p>
      <w:pPr>
        <w:numPr>
          <w:ilvl w:val="0"/>
          <w:numId w:val="1005"/>
        </w:numPr>
        <w:pStyle w:val="Compact"/>
      </w:pPr>
      <w:r>
        <w:t xml:space="preserve">Orientation 10 - soutenir l’agriculture</w:t>
      </w:r>
    </w:p>
    <w:p>
      <w:pPr>
        <w:numPr>
          <w:ilvl w:val="0"/>
          <w:numId w:val="1005"/>
        </w:numPr>
        <w:pStyle w:val="Compact"/>
      </w:pPr>
      <w:r>
        <w:t xml:space="preserve">Orientation 11 - développer le potentiel touristique, patrimonial et culturel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SM du Parc naturel régional des Grands Causses, nature: SMO, SIREN: 251201349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Agence Eau Adour Garonne</w:t>
      </w:r>
    </w:p>
    <w:p>
      <w:pPr>
        <w:numPr>
          <w:ilvl w:val="0"/>
          <w:numId w:val="1007"/>
        </w:numPr>
        <w:pStyle w:val="Compact"/>
      </w:pPr>
      <w:r>
        <w:t xml:space="preserve">Nom: Aveyron, nature: departement, SIREN: 12</w:t>
      </w:r>
    </w:p>
    <w:p>
      <w:pPr>
        <w:numPr>
          <w:ilvl w:val="0"/>
          <w:numId w:val="1007"/>
        </w:numPr>
        <w:pStyle w:val="Compact"/>
      </w:pPr>
      <w:r>
        <w:t xml:space="preserve">opérateurs et EP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Comité technique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ADEME, Agence Eau Adour Garonne, Cerema, OFB, Anah, Département, et banque des territoires</w:t>
      </w:r>
    </w:p>
    <w:p>
      <w:pPr>
        <w:pStyle w:val="TextBody"/>
      </w:pPr>
      <w:r>
        <w:t xml:space="preserve">Démarches de co-construction du CRTE : Consultation publique/citoyenne, réalisée dans le cadre de la charte,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PNR</w:t>
      </w:r>
    </w:p>
    <w:p>
      <w:pPr>
        <w:pStyle w:val="TextBody"/>
      </w:pPr>
      <w:r>
        <w:t xml:space="preserve">Mobilisation d’une ingénierie externe : ADEME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2022-05-06T15:22:16Z</dcterms:created>
  <dcterms:modified xsi:type="dcterms:W3CDTF">2022-05-06T15:22:16Z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