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dgs@barsuraube.fr</w:t>
      </w:r>
    </w:p>
    <w:p>
      <w:pPr>
        <w:pStyle w:val="TextBody"/>
      </w:pPr>
      <w:r>
        <w:t xml:space="preserve">Date de signature du CRTE : 20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Région de Bar-sur-Aube</w:t>
      </w:r>
    </w:p>
    <w:p>
      <w:pPr>
        <w:pStyle w:val="TextBody"/>
      </w:pPr>
      <w:r>
        <w:t xml:space="preserve">Si protocole de préfiguration : date de signature : 08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Aube, nature: departement, SIREN: 10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CC de la Région de Bar sur Aube, nature: CC, SIREN: 241000405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projet bourg structurant en milieu rural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Convention de réhabilitation du site de Clairvaux et de redynamisation du territoire de Bar-sur-Aube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la redynamisation des économies locales (porter une nouvelle ambition industrielle/conforter le maillage des emplois de proximité et de l’économie résidentielle/)</w:t>
      </w:r>
    </w:p>
    <w:p>
      <w:pPr>
        <w:numPr>
          <w:ilvl w:val="0"/>
          <w:numId w:val="1004"/>
        </w:numPr>
        <w:pStyle w:val="Compact"/>
      </w:pPr>
      <w:r>
        <w:t xml:space="preserve">accélération de la transition écologique et énergétique (des infrastructures publiques/ politique de gestion des déchets ambitieuse et efficiente/mise en valeur des atouts écologiques du territoire)</w:t>
      </w:r>
    </w:p>
    <w:p>
      <w:pPr>
        <w:numPr>
          <w:ilvl w:val="0"/>
          <w:numId w:val="1004"/>
        </w:numPr>
        <w:pStyle w:val="Compact"/>
      </w:pPr>
      <w:r>
        <w:t xml:space="preserve">cohésion sociale et territoriale : un territoire actif et sportif (favoriser le maillage territorial de la mobilité, le maintien à domicile et l’accès aux services/adaptation des logements aux enjeux de demain/favoriser le vivre-ensemble et attirer de nouveaux habitants/mise en valeur du territoire)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TextBody"/>
      </w:pPr>
      <w:r>
        <w:t xml:space="preserve">Nombre de fiches projet (opération à travailler) : 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DDT</w:t>
      </w:r>
    </w:p>
    <w:p>
      <w:pPr>
        <w:numPr>
          <w:ilvl w:val="0"/>
          <w:numId w:val="1006"/>
        </w:numPr>
        <w:pStyle w:val="Compact"/>
      </w:pPr>
      <w:r>
        <w:t xml:space="preserve">ANAH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ANCT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Nom: Aube, nature: departement, SIREN: 10</w:t>
      </w:r>
    </w:p>
    <w:p>
      <w:pPr>
        <w:numPr>
          <w:ilvl w:val="0"/>
          <w:numId w:val="1006"/>
        </w:numPr>
        <w:pStyle w:val="Compact"/>
      </w:pPr>
      <w:r>
        <w:t xml:space="preserve">Nom: CC de la Région de Bar sur Aube, nature: CC, SIREN: 241000405</w:t>
      </w:r>
    </w:p>
    <w:p>
      <w:pPr>
        <w:pStyle w:val="FirstParagraph"/>
      </w:pPr>
      <w:r>
        <w:t xml:space="preserve">Liste des instances de partenariat mobilisées ou créées : CCI, Chambre des métiers, Chambres d’agriculture, Association des commerçants, Agence de développement économique : Business Sud Champagne, Office de Tourise de la Côte des Bar en Champagne, CDT, Représentants des associations de consommation du territoire, Bailleurs sociaux, CAF, et SDEDA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Voir 5.2</w:t>
      </w:r>
    </w:p>
    <w:p>
      <w:pPr>
        <w:pStyle w:val="TextBody"/>
      </w:pPr>
      <w:r>
        <w:t xml:space="preserve">Démarches de co-construction du CRTE : Concertation élus/techniciens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EPF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2.67M€</w:t>
      </w:r>
    </w:p>
    <w:p>
      <w:pPr>
        <w:pStyle w:val="TextBody"/>
      </w:pPr>
      <w:r>
        <w:t xml:space="preserve">Montant total en euros des engagements financiers des collectivités locales et leurs établissements publics : 1.79M€</w:t>
      </w:r>
    </w:p>
    <w:p>
      <w:pPr>
        <w:pStyle w:val="TextBody"/>
      </w:pPr>
      <w:r>
        <w:t xml:space="preserve">Montant total en euros des engagements financiers de l’Etat et de ses opérateurs Plan de relance : 199 760€</w:t>
      </w:r>
    </w:p>
    <w:p>
      <w:pPr>
        <w:pStyle w:val="TextBody"/>
      </w:pPr>
      <w:r>
        <w:t xml:space="preserve">Montant total en euros des engagements financiers de l’Etat et de ses opérateurs hors plan de relance : 647 379€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2022-05-06T15:22:14Z</dcterms:created>
  <dcterms:modified xsi:type="dcterms:W3CDTF">2022-05-06T15:22:14Z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