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Rethelois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Réthelois, nature: CC, SIREN: 200043156</w:t>
      </w:r>
    </w:p>
    <w:p>
      <w:pPr>
        <w:numPr>
          <w:ilvl w:val="0"/>
          <w:numId w:val="1001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Education Nationale</w:t>
      </w:r>
    </w:p>
    <w:p>
      <w:pPr>
        <w:numPr>
          <w:ilvl w:val="0"/>
          <w:numId w:val="1001"/>
        </w:numPr>
        <w:pStyle w:val="Compact"/>
      </w:pPr>
      <w:r>
        <w:t xml:space="preserve">Banque Territoires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POCE</w:t>
      </w:r>
    </w:p>
    <w:p>
      <w:pPr>
        <w:numPr>
          <w:ilvl w:val="0"/>
          <w:numId w:val="1003"/>
        </w:numPr>
        <w:pStyle w:val="Compact"/>
      </w:pPr>
      <w:r>
        <w:t xml:space="preserve">OCMR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PIG 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favoriser l’esprit d’entreprendre sur le territoire et fidéliser ses habitants</w:t>
      </w:r>
    </w:p>
    <w:p>
      <w:pPr>
        <w:numPr>
          <w:ilvl w:val="0"/>
          <w:numId w:val="1005"/>
        </w:numPr>
        <w:pStyle w:val="Compact"/>
      </w:pPr>
      <w:r>
        <w:t xml:space="preserve">axe 2: accompagner 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axe3: développer le bien-vivre ensemble, pour un équilibre urabin-rural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84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CC du Pays Réthelois, nature: CC, SIREN: 200043156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Ardennes, nature: departement, SIREN: 08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Territoires</w:t>
      </w:r>
    </w:p>
    <w:p>
      <w:pPr>
        <w:numPr>
          <w:ilvl w:val="0"/>
          <w:numId w:val="1007"/>
        </w:numPr>
        <w:pStyle w:val="Compact"/>
      </w:pPr>
      <w:r>
        <w:t xml:space="preserve">Education Nationale</w:t>
      </w:r>
    </w:p>
    <w:p>
      <w:pPr>
        <w:pStyle w:val="FirstParagraph"/>
      </w:pPr>
      <w:r>
        <w:t xml:space="preserve">Liste des instances de partenariat mobilisées ou créées : Comité de suivi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Logistique et Fret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2022-05-06T15:22:14Z</dcterms:created>
  <dcterms:modified xsi:type="dcterms:W3CDTF">2022-05-06T15:22:14Z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