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TextBody"/>
      </w:pPr>
      <w:r>
        <w:t xml:space="preserve">Date de signature du CRTE : 14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Ardèche Rhône Coiron et Communauté de communes du Rhône aux Gorges de l’Ardèche</w:t>
      </w:r>
    </w:p>
    <w:p>
      <w:pPr>
        <w:pStyle w:val="TextBody"/>
      </w:pPr>
      <w:r>
        <w:t xml:space="preserve">Si protocole de préfiguration : date de signature : 16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Ardèche Rhône Coiron, nature: CC, SIREN: 200071405</w:t>
      </w:r>
    </w:p>
    <w:p>
      <w:pPr>
        <w:numPr>
          <w:ilvl w:val="0"/>
          <w:numId w:val="1001"/>
        </w:numPr>
        <w:pStyle w:val="Compact"/>
      </w:pPr>
      <w:r>
        <w:t xml:space="preserve">Nom: CC du Rhône aux Gorges de l’Ardèche, nature: CC, SIREN: 240700864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Etude schéma directeur eau/assainissement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partenarial d’aménagement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MOUS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Etude système endiguement et PPI dédié</w:t>
      </w:r>
    </w:p>
    <w:p>
      <w:pPr>
        <w:numPr>
          <w:ilvl w:val="0"/>
          <w:numId w:val="1003"/>
        </w:numPr>
        <w:pStyle w:val="Compact"/>
      </w:pPr>
      <w:r>
        <w:t xml:space="preserve">Convention Pôle National du Cirque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Plan des mobilités</w:t>
      </w:r>
    </w:p>
    <w:p>
      <w:pPr>
        <w:numPr>
          <w:ilvl w:val="0"/>
          <w:numId w:val="1003"/>
        </w:numPr>
        <w:pStyle w:val="Compact"/>
      </w:pPr>
      <w:r>
        <w:t xml:space="preserve">Convention de coopérationmobilités Région</w:t>
      </w:r>
    </w:p>
    <w:p>
      <w:pPr>
        <w:numPr>
          <w:ilvl w:val="0"/>
          <w:numId w:val="1003"/>
        </w:numPr>
        <w:pStyle w:val="Compact"/>
      </w:pPr>
      <w:r>
        <w:t xml:space="preserve">Contrat territorial de transition agricole et alimentaire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Services à la population</w:t>
      </w:r>
    </w:p>
    <w:p>
      <w:pPr>
        <w:numPr>
          <w:ilvl w:val="0"/>
          <w:numId w:val="1005"/>
        </w:numPr>
        <w:pStyle w:val="Compact"/>
      </w:pPr>
      <w:r>
        <w:t xml:space="preserve">Urbanisme, habitat et cadre de vie</w:t>
      </w:r>
    </w:p>
    <w:p>
      <w:pPr>
        <w:numPr>
          <w:ilvl w:val="0"/>
          <w:numId w:val="1005"/>
        </w:numPr>
        <w:pStyle w:val="Compact"/>
      </w:pPr>
      <w:r>
        <w:t xml:space="preserve">Paysages et environnement</w:t>
      </w:r>
    </w:p>
    <w:p>
      <w:pPr>
        <w:numPr>
          <w:ilvl w:val="0"/>
          <w:numId w:val="1005"/>
        </w:numPr>
        <w:pStyle w:val="Compact"/>
      </w:pPr>
      <w:r>
        <w:t xml:space="preserve">Activités économiques et 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72</w:t>
      </w:r>
    </w:p>
    <w:p>
      <w:pPr>
        <w:pStyle w:val="TextBody"/>
      </w:pPr>
      <w:r>
        <w:t xml:space="preserve">Nombre de fiches projet (opération à travailler) : 198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Ardèche Rhône Coiron, nature: CC, SIREN: 200071405</w:t>
      </w:r>
    </w:p>
    <w:p>
      <w:pPr>
        <w:numPr>
          <w:ilvl w:val="0"/>
          <w:numId w:val="1007"/>
        </w:numPr>
        <w:pStyle w:val="Compact"/>
      </w:pPr>
      <w:r>
        <w:t xml:space="preserve">Nom: CC du Rhône aux Gorges de l’Ardèche, nature: CC, SIREN: 240700864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CMA, CA, et AERMC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2022-05-06T15:22:13Z</dcterms:created>
  <dcterms:modified xsi:type="dcterms:W3CDTF">2022-05-06T15:22:13Z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