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alexandre.kuraszyk@alpes-de-haute-provence.gouv.fr</w:t>
      </w:r>
    </w:p>
    <w:p>
      <w:pPr>
        <w:pStyle w:val="TextBody"/>
      </w:pPr>
      <w:r>
        <w:t xml:space="preserve">Date de signature du CRTE : 21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Sisteronais-Buëch et communauté de communes de Jabron-Lure-Vançon-Durance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CEREMA</w:t>
      </w:r>
    </w:p>
    <w:p>
      <w:pPr>
        <w:numPr>
          <w:ilvl w:val="0"/>
          <w:numId w:val="1001"/>
        </w:numPr>
        <w:pStyle w:val="Compact"/>
      </w:pPr>
      <w:r>
        <w:t xml:space="preserve">Nom: CC du Sisteronais-Buëch, nature: CC, SIREN: 200068765</w:t>
      </w:r>
    </w:p>
    <w:p>
      <w:pPr>
        <w:numPr>
          <w:ilvl w:val="0"/>
          <w:numId w:val="1001"/>
        </w:numPr>
        <w:pStyle w:val="Compact"/>
      </w:pPr>
      <w:r>
        <w:t xml:space="preserve">Nom: CC Jabron-Lure-Vançon-Durance, nature: CC, SIREN: 200071033</w:t>
      </w:r>
    </w:p>
    <w:p>
      <w:pPr>
        <w:numPr>
          <w:ilvl w:val="0"/>
          <w:numId w:val="1001"/>
        </w:numPr>
        <w:pStyle w:val="Compact"/>
      </w:pPr>
      <w:r>
        <w:t xml:space="preserve">ANCT</w:t>
      </w:r>
    </w:p>
    <w:p>
      <w:pPr>
        <w:numPr>
          <w:ilvl w:val="0"/>
          <w:numId w:val="1001"/>
        </w:numPr>
        <w:pStyle w:val="Compact"/>
      </w:pPr>
      <w:r>
        <w:t xml:space="preserve">ANAH</w:t>
      </w:r>
    </w:p>
    <w:p>
      <w:pPr>
        <w:numPr>
          <w:ilvl w:val="0"/>
          <w:numId w:val="1001"/>
        </w:numPr>
        <w:pStyle w:val="Compact"/>
      </w:pPr>
      <w:r>
        <w:t xml:space="preserve">CCI</w:t>
      </w:r>
    </w:p>
    <w:p>
      <w:pPr>
        <w:numPr>
          <w:ilvl w:val="0"/>
          <w:numId w:val="1001"/>
        </w:numPr>
        <w:pStyle w:val="Compact"/>
      </w:pPr>
      <w:r>
        <w:t xml:space="preserve">Chambre des Métiers</w:t>
      </w:r>
    </w:p>
    <w:p>
      <w:pPr>
        <w:numPr>
          <w:ilvl w:val="0"/>
          <w:numId w:val="1001"/>
        </w:numPr>
        <w:pStyle w:val="Compact"/>
      </w:pPr>
      <w:r>
        <w:t xml:space="preserve">Chambre d’Agriculture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FISAC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départemental de solidarité territoriale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Développer des services à la population, en particulier dans le secteur des soins</w:t>
      </w:r>
    </w:p>
    <w:p>
      <w:pPr>
        <w:numPr>
          <w:ilvl w:val="0"/>
          <w:numId w:val="1004"/>
        </w:numPr>
        <w:pStyle w:val="Compact"/>
      </w:pPr>
      <w:r>
        <w:t xml:space="preserve">Orientation 2 : Revitaliser les centres-bourgs et améliorer l’habitat, en veillant notamment à rénover thermiquement le patrimoine bâti public et privé</w:t>
      </w:r>
    </w:p>
    <w:p>
      <w:pPr>
        <w:numPr>
          <w:ilvl w:val="0"/>
          <w:numId w:val="1004"/>
        </w:numPr>
        <w:pStyle w:val="Compact"/>
      </w:pPr>
      <w:r>
        <w:t xml:space="preserve">Orientation 3 : Développer une offre de mobilités et l’accessibilité du territoire</w:t>
      </w:r>
    </w:p>
    <w:p>
      <w:pPr>
        <w:numPr>
          <w:ilvl w:val="0"/>
          <w:numId w:val="1004"/>
        </w:numPr>
        <w:pStyle w:val="Compact"/>
      </w:pPr>
      <w:r>
        <w:t xml:space="preserve">Orientation 4 : Consolider l’attractivité du territoire et son économie, en particulier dans les secteurs touristiques, agricoles et sylvicoles</w:t>
      </w:r>
    </w:p>
    <w:p>
      <w:pPr>
        <w:numPr>
          <w:ilvl w:val="0"/>
          <w:numId w:val="1004"/>
        </w:numPr>
        <w:pStyle w:val="Compact"/>
      </w:pPr>
      <w:r>
        <w:t xml:space="preserve">Orientation 5 : Poursuivre un objectif</w:t>
      </w:r>
      <w:r>
        <w:t xml:space="preserve"> </w:t>
      </w:r>
      <w:r>
        <w:t xml:space="preserve">“</w:t>
      </w:r>
      <w:r>
        <w:t xml:space="preserve">Zéro Déchets</w:t>
      </w:r>
      <w:r>
        <w:t xml:space="preserve">”</w:t>
      </w:r>
    </w:p>
    <w:p>
      <w:pPr>
        <w:numPr>
          <w:ilvl w:val="0"/>
          <w:numId w:val="1004"/>
        </w:numPr>
        <w:pStyle w:val="Compact"/>
      </w:pPr>
      <w:r>
        <w:t xml:space="preserve">Orientation 6 : Préserver la ressource en eau</w:t>
      </w:r>
    </w:p>
    <w:p>
      <w:pPr>
        <w:numPr>
          <w:ilvl w:val="0"/>
          <w:numId w:val="1004"/>
        </w:numPr>
        <w:pStyle w:val="Compact"/>
      </w:pPr>
      <w:r>
        <w:t xml:space="preserve">Orientation 7 : Promouvoir un développement maîtrisé des énergies renouvelables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71</w:t>
      </w:r>
    </w:p>
    <w:p>
      <w:pPr>
        <w:pStyle w:val="TextBody"/>
      </w:pPr>
      <w:r>
        <w:t xml:space="preserve">Nombre de fiches projet (opération à travailler) : 24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Madame la Préfète ou son représentant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numPr>
          <w:ilvl w:val="0"/>
          <w:numId w:val="1006"/>
        </w:numPr>
        <w:pStyle w:val="Compact"/>
      </w:pPr>
      <w:r>
        <w:t xml:space="preserve">ANAH</w:t>
      </w:r>
    </w:p>
    <w:p>
      <w:pPr>
        <w:numPr>
          <w:ilvl w:val="0"/>
          <w:numId w:val="1006"/>
        </w:numPr>
        <w:pStyle w:val="Compact"/>
      </w:pPr>
      <w:r>
        <w:t xml:space="preserve">Nom: CC du Sisteronais-Buëch, nature: CC, SIREN: 200068765</w:t>
      </w:r>
    </w:p>
    <w:p>
      <w:pPr>
        <w:numPr>
          <w:ilvl w:val="0"/>
          <w:numId w:val="1006"/>
        </w:numPr>
        <w:pStyle w:val="Compact"/>
      </w:pPr>
      <w:r>
        <w:t xml:space="preserve">Nom: CC Jabron-Lure-Vançon-Durance, nature: CC, SIREN: 200071033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Nom: Provence-Alpes-Côte d’Azur, nature: region, SIREN: 93</w:t>
      </w:r>
    </w:p>
    <w:p>
      <w:pPr>
        <w:numPr>
          <w:ilvl w:val="0"/>
          <w:numId w:val="1006"/>
        </w:numPr>
        <w:pStyle w:val="Compact"/>
      </w:pPr>
      <w:r>
        <w:t xml:space="preserve">Nom: Alpes-de-Haute-Provence, nature: departement, SIREN: 04</w:t>
      </w:r>
    </w:p>
    <w:p>
      <w:pPr>
        <w:numPr>
          <w:ilvl w:val="0"/>
          <w:numId w:val="1006"/>
        </w:numPr>
        <w:pStyle w:val="Compact"/>
      </w:pPr>
      <w:r>
        <w:t xml:space="preserve">Chambre des Métiers</w:t>
      </w:r>
    </w:p>
    <w:p>
      <w:pPr>
        <w:numPr>
          <w:ilvl w:val="0"/>
          <w:numId w:val="1006"/>
        </w:numPr>
        <w:pStyle w:val="Compact"/>
      </w:pPr>
      <w:r>
        <w:t xml:space="preserve">Chambre d’Agriculture</w:t>
      </w:r>
    </w:p>
    <w:p>
      <w:pPr>
        <w:numPr>
          <w:ilvl w:val="0"/>
          <w:numId w:val="1006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Agence de l’eau, CEREMA, ANCT, ANAH, Banque des Territoires, Chambre d’Agriculture, Chambre des Métiers, et CCI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7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7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75 000€</w:t>
      </w:r>
    </w:p>
    <w:p>
      <w:pPr>
        <w:pStyle w:val="TextBody"/>
      </w:pPr>
      <w:r>
        <w:t xml:space="preserve">Montant total prévisionnel en euros des actions en dépenses d’investissement : 56.38M€</w:t>
      </w:r>
    </w:p>
    <w:p>
      <w:pPr>
        <w:pStyle w:val="TextBody"/>
      </w:pPr>
      <w:r>
        <w:t xml:space="preserve">Montant total en euros des engagements financiers des collectivités locales et leurs établissements publics : 8.78M€</w:t>
      </w:r>
    </w:p>
    <w:p>
      <w:pPr>
        <w:pStyle w:val="TextBody"/>
      </w:pPr>
      <w:r>
        <w:t xml:space="preserve">Montant total en euros des engagements financiers de l’Etat et de ses opérateurs Plan de relance : 1.57M€</w:t>
      </w:r>
    </w:p>
    <w:p>
      <w:pPr>
        <w:pStyle w:val="TextBody"/>
      </w:pPr>
      <w:r>
        <w:t xml:space="preserve">Montant total en euros des engagements financiers de l’Etat et de ses opérateurs hors plan de relance : 9.22M€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2022-05-06T15:22:11Z</dcterms:created>
  <dcterms:modified xsi:type="dcterms:W3CDTF">2022-05-06T15:22:11Z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