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pref-sgad@alpes-de-haute-provence.gouv.fr</w:t>
      </w:r>
    </w:p>
    <w:p>
      <w:pPr>
        <w:pStyle w:val="TextBody"/>
      </w:pPr>
      <w:r>
        <w:t xml:space="preserve">Date de signature du CRTE : 08 juin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Provence Alpes Agglomération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Préfète des AHP</w:t>
      </w:r>
    </w:p>
    <w:p>
      <w:pPr>
        <w:numPr>
          <w:ilvl w:val="0"/>
          <w:numId w:val="1001"/>
        </w:numPr>
        <w:pStyle w:val="Compact"/>
      </w:pPr>
      <w:r>
        <w:t xml:space="preserve">Nom: CA Provence-Alpes-Agglomération, nature: CA, SIREN: 200067437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Nom: Provence-Alpes-Côte d’Azur, nature: region, SIREN: 93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numPr>
          <w:ilvl w:val="0"/>
          <w:numId w:val="1001"/>
        </w:numPr>
        <w:pStyle w:val="Compact"/>
      </w:pPr>
      <w:r>
        <w:t xml:space="preserve">CEREMA</w:t>
      </w:r>
    </w:p>
    <w:p>
      <w:pPr>
        <w:numPr>
          <w:ilvl w:val="0"/>
          <w:numId w:val="1001"/>
        </w:numPr>
        <w:pStyle w:val="Compact"/>
      </w:pPr>
      <w:r>
        <w:t xml:space="preserve">CCI</w:t>
      </w:r>
    </w:p>
    <w:p>
      <w:pPr>
        <w:numPr>
          <w:ilvl w:val="0"/>
          <w:numId w:val="1001"/>
        </w:numPr>
        <w:pStyle w:val="Compact"/>
      </w:pPr>
      <w:r>
        <w:t xml:space="preserve">CMAR</w:t>
      </w:r>
    </w:p>
    <w:p>
      <w:pPr>
        <w:numPr>
          <w:ilvl w:val="0"/>
          <w:numId w:val="1001"/>
        </w:numPr>
        <w:pStyle w:val="Compact"/>
      </w:pPr>
      <w:r>
        <w:t xml:space="preserve">Chambre d’Agriculture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PLH en cours de réalisation</w:t>
      </w:r>
    </w:p>
    <w:p>
      <w:pPr>
        <w:numPr>
          <w:ilvl w:val="0"/>
          <w:numId w:val="1002"/>
        </w:numPr>
        <w:pStyle w:val="Compact"/>
      </w:pPr>
      <w:r>
        <w:t xml:space="preserve">PAT en cours de réalisation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CDST</w:t>
      </w:r>
    </w:p>
    <w:p>
      <w:pPr>
        <w:numPr>
          <w:ilvl w:val="0"/>
          <w:numId w:val="1003"/>
        </w:numPr>
        <w:pStyle w:val="Compact"/>
      </w:pPr>
      <w:r>
        <w:t xml:space="preserve">Contrat station de demain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1: Transition énergétique et écologique</w:t>
      </w:r>
    </w:p>
    <w:p>
      <w:pPr>
        <w:numPr>
          <w:ilvl w:val="0"/>
          <w:numId w:val="1005"/>
        </w:numPr>
        <w:pStyle w:val="Compact"/>
      </w:pPr>
      <w:r>
        <w:t xml:space="preserve">Energies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 et intermodalité</w:t>
      </w:r>
    </w:p>
    <w:p>
      <w:pPr>
        <w:numPr>
          <w:ilvl w:val="0"/>
          <w:numId w:val="1005"/>
        </w:numPr>
        <w:pStyle w:val="Compact"/>
      </w:pPr>
      <w:r>
        <w:t xml:space="preserve">Biodiversité et protection des milieux</w:t>
      </w:r>
    </w:p>
    <w:p>
      <w:pPr>
        <w:numPr>
          <w:ilvl w:val="0"/>
          <w:numId w:val="1005"/>
        </w:numPr>
        <w:pStyle w:val="Compact"/>
      </w:pPr>
      <w:r>
        <w:t xml:space="preserve">Axe 2 : solidarité territoriale</w:t>
      </w:r>
    </w:p>
    <w:p>
      <w:pPr>
        <w:numPr>
          <w:ilvl w:val="0"/>
          <w:numId w:val="1005"/>
        </w:numPr>
        <w:pStyle w:val="Compact"/>
      </w:pPr>
      <w:r>
        <w:t xml:space="preserve">Accessibilité aux équipements structurants</w:t>
      </w:r>
    </w:p>
    <w:p>
      <w:pPr>
        <w:numPr>
          <w:ilvl w:val="0"/>
          <w:numId w:val="1005"/>
        </w:numPr>
        <w:pStyle w:val="Compact"/>
      </w:pPr>
      <w:r>
        <w:t xml:space="preserve">Eau, assainissement, gestion des risques</w:t>
      </w:r>
    </w:p>
    <w:p>
      <w:pPr>
        <w:numPr>
          <w:ilvl w:val="0"/>
          <w:numId w:val="1005"/>
        </w:numPr>
        <w:pStyle w:val="Compact"/>
      </w:pPr>
      <w:r>
        <w:t xml:space="preserve">Stratégie pleine santé</w:t>
      </w:r>
    </w:p>
    <w:p>
      <w:pPr>
        <w:numPr>
          <w:ilvl w:val="0"/>
          <w:numId w:val="1005"/>
        </w:numPr>
        <w:pStyle w:val="Compact"/>
      </w:pPr>
      <w:r>
        <w:t xml:space="preserve">Axe 3 : Tourisme durable</w:t>
      </w:r>
    </w:p>
    <w:p>
      <w:pPr>
        <w:numPr>
          <w:ilvl w:val="0"/>
          <w:numId w:val="1005"/>
        </w:numPr>
        <w:pStyle w:val="Compact"/>
      </w:pPr>
      <w:r>
        <w:t xml:space="preserve">Diversification et modernisation des équipements</w:t>
      </w:r>
    </w:p>
    <w:p>
      <w:pPr>
        <w:numPr>
          <w:ilvl w:val="0"/>
          <w:numId w:val="1005"/>
        </w:numPr>
        <w:pStyle w:val="Compact"/>
      </w:pPr>
      <w:r>
        <w:t xml:space="preserve">Cohérence et structuration des offres et acteurs</w:t>
      </w:r>
    </w:p>
    <w:p>
      <w:pPr>
        <w:numPr>
          <w:ilvl w:val="0"/>
          <w:numId w:val="1005"/>
        </w:numPr>
        <w:pStyle w:val="Compact"/>
      </w:pPr>
      <w:r>
        <w:t xml:space="preserve">Stratégie montagne et équilibre territorial</w:t>
      </w:r>
    </w:p>
    <w:p>
      <w:pPr>
        <w:numPr>
          <w:ilvl w:val="0"/>
          <w:numId w:val="1005"/>
        </w:numPr>
        <w:pStyle w:val="Compact"/>
      </w:pPr>
      <w:r>
        <w:t xml:space="preserve">Axe 4 : Attractivité économique</w:t>
      </w:r>
    </w:p>
    <w:p>
      <w:pPr>
        <w:numPr>
          <w:ilvl w:val="0"/>
          <w:numId w:val="1005"/>
        </w:numPr>
        <w:pStyle w:val="Compact"/>
      </w:pPr>
      <w:r>
        <w:t xml:space="preserve">Agriculture, alimentation et circuits courts</w:t>
      </w:r>
    </w:p>
    <w:p>
      <w:pPr>
        <w:numPr>
          <w:ilvl w:val="0"/>
          <w:numId w:val="1005"/>
        </w:numPr>
        <w:pStyle w:val="Compact"/>
      </w:pPr>
      <w:r>
        <w:t xml:space="preserve">Revitalisation des centres-villes/bourgs</w:t>
      </w:r>
    </w:p>
    <w:p>
      <w:pPr>
        <w:numPr>
          <w:ilvl w:val="0"/>
          <w:numId w:val="1005"/>
        </w:numPr>
        <w:pStyle w:val="Compact"/>
      </w:pPr>
      <w:r>
        <w:t xml:space="preserve">Développement et requalification des ZAE</w:t>
      </w:r>
    </w:p>
    <w:p>
      <w:pPr>
        <w:numPr>
          <w:ilvl w:val="0"/>
          <w:numId w:val="1005"/>
        </w:numPr>
        <w:pStyle w:val="Compact"/>
      </w:pPr>
      <w:r>
        <w:t xml:space="preserve">Suivi du plan de relance</w:t>
      </w:r>
    </w:p>
    <w:p>
      <w:pPr>
        <w:numPr>
          <w:ilvl w:val="0"/>
          <w:numId w:val="1005"/>
        </w:numPr>
        <w:pStyle w:val="Compact"/>
      </w:pPr>
      <w:r>
        <w:t xml:space="preserve">Rénovation énergétique de l’habitat et des bâtiments publics</w:t>
      </w:r>
    </w:p>
    <w:p>
      <w:pPr>
        <w:numPr>
          <w:ilvl w:val="0"/>
          <w:numId w:val="1005"/>
        </w:numPr>
        <w:pStyle w:val="Compact"/>
      </w:pPr>
      <w:r>
        <w:t xml:space="preserve">Soutien aux énergies locales et renouvelables</w:t>
      </w:r>
    </w:p>
    <w:p>
      <w:pPr>
        <w:numPr>
          <w:ilvl w:val="0"/>
          <w:numId w:val="1005"/>
        </w:numPr>
        <w:pStyle w:val="Compact"/>
      </w:pPr>
      <w:r>
        <w:t xml:space="preserve">Déchets et réemploi</w:t>
      </w:r>
    </w:p>
    <w:p>
      <w:pPr>
        <w:numPr>
          <w:ilvl w:val="0"/>
          <w:numId w:val="1005"/>
        </w:numPr>
        <w:pStyle w:val="Compact"/>
      </w:pPr>
      <w:r>
        <w:t xml:space="preserve">Montée en gamme et amélioration de la qualité de l’offre touristique</w:t>
      </w:r>
    </w:p>
    <w:p>
      <w:pPr>
        <w:numPr>
          <w:ilvl w:val="0"/>
          <w:numId w:val="1005"/>
        </w:numPr>
        <w:pStyle w:val="Compact"/>
      </w:pPr>
      <w:r>
        <w:t xml:space="preserve">Structuration, professionnalisation, mise en réseau synergie des acteurs</w:t>
      </w:r>
    </w:p>
    <w:p>
      <w:pPr>
        <w:numPr>
          <w:ilvl w:val="0"/>
          <w:numId w:val="1005"/>
        </w:numPr>
        <w:pStyle w:val="Compact"/>
      </w:pPr>
      <w:r>
        <w:t xml:space="preserve">Valorisation des savoirs-faire</w:t>
      </w:r>
    </w:p>
    <w:p>
      <w:pPr>
        <w:numPr>
          <w:ilvl w:val="0"/>
          <w:numId w:val="1005"/>
        </w:numPr>
        <w:pStyle w:val="Compact"/>
      </w:pPr>
      <w:r>
        <w:t xml:space="preserve">Préservation des patrimoines</w:t>
      </w:r>
    </w:p>
    <w:p>
      <w:pPr>
        <w:numPr>
          <w:ilvl w:val="0"/>
          <w:numId w:val="1005"/>
        </w:numPr>
        <w:pStyle w:val="Compact"/>
      </w:pPr>
      <w:r>
        <w:t xml:space="preserve">Diffusion culturelle</w:t>
      </w:r>
    </w:p>
    <w:p>
      <w:pPr>
        <w:numPr>
          <w:ilvl w:val="0"/>
          <w:numId w:val="1005"/>
        </w:numPr>
        <w:pStyle w:val="Compact"/>
      </w:pPr>
      <w:r>
        <w:t xml:space="preserve">Solidarité et accessibilité aux services publics de proximité</w:t>
      </w:r>
    </w:p>
    <w:p>
      <w:pPr>
        <w:numPr>
          <w:ilvl w:val="0"/>
          <w:numId w:val="1005"/>
        </w:numPr>
        <w:pStyle w:val="Compact"/>
      </w:pPr>
      <w:r>
        <w:t xml:space="preserve">Mobilités solidaires</w:t>
      </w:r>
    </w:p>
    <w:p>
      <w:pPr>
        <w:numPr>
          <w:ilvl w:val="0"/>
          <w:numId w:val="1005"/>
        </w:numPr>
        <w:pStyle w:val="Compact"/>
      </w:pPr>
      <w:r>
        <w:t xml:space="preserve">Accompagnement des dynamiques d’eco-quartiers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50</w:t>
      </w:r>
    </w:p>
    <w:p>
      <w:pPr>
        <w:pStyle w:val="TextBody"/>
      </w:pPr>
      <w:r>
        <w:t xml:space="preserve">Nombre de fiches projet (opération à travailler) : 72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Préfète</w:t>
      </w:r>
    </w:p>
    <w:p>
      <w:pPr>
        <w:numPr>
          <w:ilvl w:val="0"/>
          <w:numId w:val="1007"/>
        </w:numPr>
        <w:pStyle w:val="Compact"/>
      </w:pPr>
      <w:r>
        <w:t xml:space="preserve">Nom: CA Provence-Alpes-Agglomération, nature: CA, SIREN: 200067437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Nom: Alpes-de-Haute-Provence, nature: departement, SIREN: 04</w:t>
      </w:r>
    </w:p>
    <w:p>
      <w:pPr>
        <w:numPr>
          <w:ilvl w:val="0"/>
          <w:numId w:val="1007"/>
        </w:numPr>
        <w:pStyle w:val="Compact"/>
      </w:pPr>
      <w:r>
        <w:t xml:space="preserve">Nom: Provence-Alpes-Côte d’Azur, nature: region, SIREN: 93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3</w:t>
      </w:r>
    </w:p>
    <w:p>
      <w:pPr>
        <w:pStyle w:val="TextBody"/>
      </w:pPr>
      <w:r>
        <w:t xml:space="preserve">Liste des partenaires socio-économiques : CCI, CMA, et Chambre d’agriculture</w:t>
      </w:r>
    </w:p>
    <w:p>
      <w:pPr>
        <w:pStyle w:val="TextBody"/>
      </w:pPr>
      <w:r>
        <w:t xml:space="preserve">Démarches de co-construction du CRTE : Consultation publique/citoyenne et Instance de concertation civile en cours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8"/>
        </w:numPr>
        <w:pStyle w:val="Compact"/>
      </w:pPr>
      <w:r>
        <w:t xml:space="preserve">Agence d’urbanisme</w:t>
      </w:r>
    </w:p>
    <w:p>
      <w:pPr>
        <w:numPr>
          <w:ilvl w:val="0"/>
          <w:numId w:val="1008"/>
        </w:numPr>
        <w:pStyle w:val="Compact"/>
      </w:pPr>
      <w:r>
        <w:t xml:space="preserve">Agence technique départementale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EPF</w:t>
      </w:r>
    </w:p>
    <w:p>
      <w:pPr>
        <w:numPr>
          <w:ilvl w:val="0"/>
          <w:numId w:val="1009"/>
        </w:numPr>
        <w:pStyle w:val="Compact"/>
      </w:pPr>
      <w:r>
        <w:t xml:space="preserve">Bureau étude sans aide ANCT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2022-05-06T15:22:11Z</dcterms:created>
  <dcterms:modified xsi:type="dcterms:W3CDTF">2022-05-06T15:22:11Z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