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TextBody"/>
      </w:pPr>
      <w:r>
        <w:t xml:space="preserve">Date de signature du CRTE : 11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Moulins Communauté</w:t>
      </w:r>
    </w:p>
    <w:p>
      <w:pPr>
        <w:pStyle w:val="TextBody"/>
      </w:pPr>
      <w:r>
        <w:t xml:space="preserve">Si protocole de préfiguration : date de signature : 21 décembre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Moulins Communauté, nature: CA, SIREN: 200071140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1: renforcer l’attractivité et développer des emplois durables (non délocalisables) en capitalisant sur les atouts (notamment patrimoniaux et culturels) du territoire.</w:t>
      </w:r>
    </w:p>
    <w:p>
      <w:pPr>
        <w:numPr>
          <w:ilvl w:val="0"/>
          <w:numId w:val="1004"/>
        </w:numPr>
        <w:pStyle w:val="Compact"/>
      </w:pPr>
      <w:r>
        <w:t xml:space="preserve">Orientation 2 : pour un cadre de vie toujours plus exemplaire et décarboné, orienté vers une dynamique structurante de développement durable et respectueuse des milieux naturels.</w:t>
      </w:r>
    </w:p>
    <w:p>
      <w:pPr>
        <w:numPr>
          <w:ilvl w:val="0"/>
          <w:numId w:val="1004"/>
        </w:numPr>
        <w:pStyle w:val="Compact"/>
      </w:pPr>
      <w:r>
        <w:t xml:space="preserve">Orientation 3 : des bourgs et villes toujours plus dynamiques et embellis au service des habitants et acteurs du territoire.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Moulins Communauté, nature: CA, SIREN: 200071140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Questionnaires / enquête numérique, Forums/conférences, et Webinaires thématiques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