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TextBody"/>
      </w:pPr>
      <w:r>
        <w:t xml:space="preserve">Date de signature du CRTE : 10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Veyle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Veyle, nature: CC, SIREN: 200070555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Economie attractive et dynamique</w:t>
      </w:r>
    </w:p>
    <w:p>
      <w:pPr>
        <w:numPr>
          <w:ilvl w:val="0"/>
          <w:numId w:val="1005"/>
        </w:numPr>
        <w:pStyle w:val="Compact"/>
      </w:pPr>
      <w:r>
        <w:t xml:space="preserve">Cadre de vie qualitatif et inclusif</w:t>
      </w:r>
    </w:p>
    <w:p>
      <w:pPr>
        <w:numPr>
          <w:ilvl w:val="0"/>
          <w:numId w:val="1005"/>
        </w:numPr>
        <w:pStyle w:val="Compact"/>
      </w:pPr>
      <w:r>
        <w:t xml:space="preserve">Développer le sentiment d’appartenance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86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de la Veyle, nature: CC, SIREN: 200070555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d’urbanisme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34,8€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2022-05-06T15:22:09Z</dcterms:created>
  <dcterms:modified xsi:type="dcterms:W3CDTF">2022-05-06T15:22:09Z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