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Bugey Sud</w:t>
      </w:r>
    </w:p>
    <w:p>
      <w:pPr>
        <w:pStyle w:val="TextBody"/>
      </w:pPr>
      <w:r>
        <w:t xml:space="preserve">Si protocole de préfiguration : date de signature : 20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Bugey Sud, nature: CC, SIREN: 200040350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Redynamiser le territoire et renforcer son attractivité résidentielle, économique et touristique</w:t>
      </w:r>
    </w:p>
    <w:p>
      <w:pPr>
        <w:numPr>
          <w:ilvl w:val="0"/>
          <w:numId w:val="1004"/>
        </w:numPr>
        <w:pStyle w:val="Compact"/>
      </w:pPr>
      <w:r>
        <w:t xml:space="preserve">Orientation 1 : diversifier l’offre d’habitat</w:t>
      </w:r>
    </w:p>
    <w:p>
      <w:pPr>
        <w:numPr>
          <w:ilvl w:val="0"/>
          <w:numId w:val="1004"/>
        </w:numPr>
        <w:pStyle w:val="Compact"/>
      </w:pPr>
      <w:r>
        <w:t xml:space="preserve">Orientation 2 : faire du niveau de services un élément clé de l’attractivité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Orientation 3 : améliorer l’offre de formation initiale et continue</w:t>
      </w:r>
    </w:p>
    <w:p>
      <w:pPr>
        <w:numPr>
          <w:ilvl w:val="0"/>
          <w:numId w:val="1004"/>
        </w:numPr>
        <w:pStyle w:val="Compact"/>
      </w:pPr>
      <w:r>
        <w:t xml:space="preserve">Orientation 4 : développer l’équipement numérique du territoire et les services associés</w:t>
      </w:r>
    </w:p>
    <w:p>
      <w:pPr>
        <w:numPr>
          <w:ilvl w:val="0"/>
          <w:numId w:val="1004"/>
        </w:numPr>
        <w:pStyle w:val="Compact"/>
      </w:pPr>
      <w:r>
        <w:t xml:space="preserve">Orientation 5 : soutenir le tissu productif local</w:t>
      </w:r>
    </w:p>
    <w:p>
      <w:pPr>
        <w:numPr>
          <w:ilvl w:val="0"/>
          <w:numId w:val="1004"/>
        </w:numPr>
        <w:pStyle w:val="Compact"/>
      </w:pPr>
      <w:r>
        <w:t xml:space="preserve">Orientation 6 : améliorer la propension du territoire à consommer localement</w:t>
      </w:r>
    </w:p>
    <w:p>
      <w:pPr>
        <w:numPr>
          <w:ilvl w:val="0"/>
          <w:numId w:val="1004"/>
        </w:numPr>
        <w:pStyle w:val="Compact"/>
      </w:pPr>
      <w:r>
        <w:t xml:space="preserve">Orientation 7 : lutter contre la vacance du logement</w:t>
      </w:r>
    </w:p>
    <w:p>
      <w:pPr>
        <w:numPr>
          <w:ilvl w:val="0"/>
          <w:numId w:val="1004"/>
        </w:numPr>
        <w:pStyle w:val="Compact"/>
      </w:pPr>
      <w:r>
        <w:t xml:space="preserve">Orientation 8 : lutter contre la vacance du commerce</w:t>
      </w:r>
    </w:p>
    <w:p>
      <w:pPr>
        <w:numPr>
          <w:ilvl w:val="0"/>
          <w:numId w:val="1004"/>
        </w:numPr>
        <w:pStyle w:val="Compact"/>
      </w:pPr>
      <w:r>
        <w:t xml:space="preserve">Orientation 9 : soutenir la redynamisation de Belley et le réaménagement du centre-ville</w:t>
      </w:r>
    </w:p>
    <w:p>
      <w:pPr>
        <w:numPr>
          <w:ilvl w:val="0"/>
          <w:numId w:val="1004"/>
        </w:numPr>
        <w:pStyle w:val="Compact"/>
      </w:pPr>
      <w:r>
        <w:t xml:space="preserve">Orientation 10 : valoriser le patrimoine</w:t>
      </w:r>
    </w:p>
    <w:p>
      <w:pPr>
        <w:numPr>
          <w:ilvl w:val="0"/>
          <w:numId w:val="1004"/>
        </w:numPr>
        <w:pStyle w:val="Compact"/>
      </w:pPr>
      <w:r>
        <w:t xml:space="preserve">Orientation 11 : dynamiser l’économie touristique</w:t>
      </w:r>
    </w:p>
    <w:p>
      <w:pPr>
        <w:numPr>
          <w:ilvl w:val="0"/>
          <w:numId w:val="1004"/>
        </w:numPr>
        <w:pStyle w:val="Compact"/>
      </w:pPr>
      <w:r>
        <w:t xml:space="preserve">Orientation 12 : renforcer la promotion du territoire Axe 2 : Préserver les ressources, le capital environnemental et la qualité de vie du territoire</w:t>
      </w:r>
    </w:p>
    <w:p>
      <w:pPr>
        <w:numPr>
          <w:ilvl w:val="0"/>
          <w:numId w:val="1004"/>
        </w:numPr>
        <w:pStyle w:val="Compact"/>
      </w:pPr>
      <w:r>
        <w:t xml:space="preserve">Orientation 13 : rapprocher l’habitat et l’emploi</w:t>
      </w:r>
    </w:p>
    <w:p>
      <w:pPr>
        <w:numPr>
          <w:ilvl w:val="0"/>
          <w:numId w:val="1004"/>
        </w:numPr>
        <w:pStyle w:val="Compact"/>
      </w:pPr>
      <w:r>
        <w:t xml:space="preserve">Orientation 14 : préserver les espaces agricoles et naturels</w:t>
      </w:r>
    </w:p>
    <w:p>
      <w:pPr>
        <w:numPr>
          <w:ilvl w:val="0"/>
          <w:numId w:val="1004"/>
        </w:numPr>
        <w:pStyle w:val="Compact"/>
      </w:pPr>
      <w:r>
        <w:t xml:space="preserve">Orientation 15 : développer de nouvelles formes urbaines moins consommatrices de foncier</w:t>
      </w:r>
    </w:p>
    <w:p>
      <w:pPr>
        <w:numPr>
          <w:ilvl w:val="0"/>
          <w:numId w:val="1004"/>
        </w:numPr>
        <w:pStyle w:val="Compact"/>
      </w:pPr>
      <w:r>
        <w:t xml:space="preserve">Orientation 16 : réserver les zones dédiées aux activités économiques incompatibles avec l’habitat</w:t>
      </w:r>
    </w:p>
    <w:p>
      <w:pPr>
        <w:numPr>
          <w:ilvl w:val="0"/>
          <w:numId w:val="1004"/>
        </w:numPr>
        <w:pStyle w:val="Compact"/>
      </w:pPr>
      <w:r>
        <w:t xml:space="preserve">Orientation 17 : préserver la ressource en eau</w:t>
      </w:r>
    </w:p>
    <w:p>
      <w:pPr>
        <w:numPr>
          <w:ilvl w:val="0"/>
          <w:numId w:val="1004"/>
        </w:numPr>
        <w:pStyle w:val="Compact"/>
      </w:pPr>
      <w:r>
        <w:t xml:space="preserve">Orientation 18 : préserver la biodiversité et restaurer les corridors écologiques</w:t>
      </w:r>
    </w:p>
    <w:p>
      <w:pPr>
        <w:numPr>
          <w:ilvl w:val="0"/>
          <w:numId w:val="1004"/>
        </w:numPr>
        <w:pStyle w:val="Compact"/>
      </w:pPr>
      <w:r>
        <w:t xml:space="preserve">Orientation 19 : anticiper les effets du changement climatique sur l’agriculture et la forêt</w:t>
      </w:r>
    </w:p>
    <w:p>
      <w:pPr>
        <w:numPr>
          <w:ilvl w:val="0"/>
          <w:numId w:val="1004"/>
        </w:numPr>
        <w:pStyle w:val="Compact"/>
      </w:pPr>
      <w:r>
        <w:t xml:space="preserve">Orientation 20 : diminuer la consommation d’énergie</w:t>
      </w:r>
    </w:p>
    <w:p>
      <w:pPr>
        <w:numPr>
          <w:ilvl w:val="0"/>
          <w:numId w:val="1004"/>
        </w:numPr>
        <w:pStyle w:val="Compact"/>
      </w:pPr>
      <w:r>
        <w:t xml:space="preserve">Orientation 21 : développer la production d’énergies renouvelables locales</w:t>
      </w:r>
    </w:p>
    <w:p>
      <w:pPr>
        <w:numPr>
          <w:ilvl w:val="0"/>
          <w:numId w:val="1004"/>
        </w:numPr>
        <w:pStyle w:val="Compact"/>
      </w:pPr>
      <w:r>
        <w:t xml:space="preserve">Orientation 22 : déployer le Schéma Directeur des Mobilités Actives</w:t>
      </w:r>
    </w:p>
    <w:p>
      <w:pPr>
        <w:numPr>
          <w:ilvl w:val="0"/>
          <w:numId w:val="1004"/>
        </w:numPr>
        <w:pStyle w:val="Compact"/>
      </w:pPr>
      <w:r>
        <w:t xml:space="preserve">Orientation 23 : développer l’usage des transports en commun</w:t>
      </w:r>
    </w:p>
    <w:p>
      <w:pPr>
        <w:numPr>
          <w:ilvl w:val="0"/>
          <w:numId w:val="1004"/>
        </w:numPr>
        <w:pStyle w:val="Compact"/>
      </w:pPr>
      <w:r>
        <w:t xml:space="preserve">Orientation 24 : promouvoir l’usage des véhicules à faible émission de CO2 Axe 3 : Organiser et coordonner l’action publique au service de la mise en œuvre du projet commun</w:t>
      </w:r>
    </w:p>
    <w:p>
      <w:pPr>
        <w:numPr>
          <w:ilvl w:val="0"/>
          <w:numId w:val="1004"/>
        </w:numPr>
        <w:pStyle w:val="Compact"/>
      </w:pPr>
      <w:r>
        <w:t xml:space="preserve">Orientation 25 : compléter le Projet de Territoire par un Pacte de Gouvernance</w:t>
      </w:r>
    </w:p>
    <w:p>
      <w:pPr>
        <w:numPr>
          <w:ilvl w:val="0"/>
          <w:numId w:val="1004"/>
        </w:numPr>
        <w:pStyle w:val="Compact"/>
      </w:pPr>
      <w:r>
        <w:t xml:space="preserve">Orientation 26 : renforcer les liens entre l’administration intercommunale et les administrations communales</w:t>
      </w:r>
    </w:p>
    <w:p>
      <w:pPr>
        <w:numPr>
          <w:ilvl w:val="0"/>
          <w:numId w:val="1004"/>
        </w:numPr>
        <w:pStyle w:val="Compact"/>
      </w:pPr>
      <w:r>
        <w:t xml:space="preserve">Orientation 27 : organiser une seconde échelle de proximité avec les bassins de services</w:t>
      </w:r>
    </w:p>
    <w:p>
      <w:pPr>
        <w:numPr>
          <w:ilvl w:val="0"/>
          <w:numId w:val="1004"/>
        </w:numPr>
        <w:pStyle w:val="Compact"/>
      </w:pPr>
      <w:r>
        <w:t xml:space="preserve">Orientation 28 : compléter le Projet de Territoire par un Pacte Financier et Fiscal</w:t>
      </w:r>
    </w:p>
    <w:p>
      <w:pPr>
        <w:numPr>
          <w:ilvl w:val="0"/>
          <w:numId w:val="1004"/>
        </w:numPr>
        <w:pStyle w:val="Compact"/>
      </w:pPr>
      <w:r>
        <w:t xml:space="preserve">Orientation 29 : identifier les politiques devant être générées dans un cadre interterritorial et nouer les partenariats correspondants</w:t>
      </w:r>
    </w:p>
    <w:p>
      <w:pPr>
        <w:numPr>
          <w:ilvl w:val="0"/>
          <w:numId w:val="1004"/>
        </w:numPr>
        <w:pStyle w:val="Compact"/>
      </w:pPr>
      <w:r>
        <w:t xml:space="preserve">Orientation 30 : faire du Projet de Territoire un vecteur de sens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TextBody"/>
      </w:pPr>
      <w:r>
        <w:t xml:space="preserve">Nombre de fiches projet (opération à travailler) : 35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ABF</w:t>
      </w:r>
    </w:p>
    <w:p>
      <w:pPr>
        <w:numPr>
          <w:ilvl w:val="0"/>
          <w:numId w:val="1006"/>
        </w:numPr>
        <w:pStyle w:val="Compact"/>
      </w:pPr>
      <w:r>
        <w:t xml:space="preserve">IA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DRETS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CAF</w:t>
      </w:r>
    </w:p>
    <w:p>
      <w:pPr>
        <w:numPr>
          <w:ilvl w:val="0"/>
          <w:numId w:val="1006"/>
        </w:numPr>
        <w:pStyle w:val="Compact"/>
      </w:pPr>
      <w:r>
        <w:t xml:space="preserve">ARS</w:t>
      </w:r>
    </w:p>
    <w:p>
      <w:pPr>
        <w:numPr>
          <w:ilvl w:val="0"/>
          <w:numId w:val="1006"/>
        </w:numPr>
        <w:pStyle w:val="Compact"/>
      </w:pPr>
      <w:r>
        <w:t xml:space="preserve">MSA</w:t>
      </w:r>
    </w:p>
    <w:p>
      <w:pPr>
        <w:numPr>
          <w:ilvl w:val="0"/>
          <w:numId w:val="1006"/>
        </w:numPr>
        <w:pStyle w:val="Compact"/>
      </w:pPr>
      <w:r>
        <w:t xml:space="preserve">Pôle Emploi</w:t>
      </w:r>
    </w:p>
    <w:p>
      <w:pPr>
        <w:numPr>
          <w:ilvl w:val="0"/>
          <w:numId w:val="1006"/>
        </w:numPr>
        <w:pStyle w:val="Compact"/>
      </w:pPr>
      <w:r>
        <w:t xml:space="preserve">Mission Locale Jeunes</w:t>
      </w:r>
    </w:p>
    <w:p>
      <w:pPr>
        <w:numPr>
          <w:ilvl w:val="0"/>
          <w:numId w:val="1006"/>
        </w:numPr>
        <w:pStyle w:val="Compact"/>
      </w:pPr>
      <w:r>
        <w:t xml:space="preserve">Chambre d’agriculture</w:t>
      </w:r>
    </w:p>
    <w:p>
      <w:pPr>
        <w:numPr>
          <w:ilvl w:val="0"/>
          <w:numId w:val="1006"/>
        </w:numPr>
        <w:pStyle w:val="Compact"/>
      </w:pPr>
      <w:r>
        <w:t xml:space="preserve">CCI</w:t>
      </w:r>
    </w:p>
    <w:p>
      <w:pPr>
        <w:numPr>
          <w:ilvl w:val="0"/>
          <w:numId w:val="1006"/>
        </w:numPr>
        <w:pStyle w:val="Compact"/>
      </w:pPr>
      <w:r>
        <w:t xml:space="preserve">CMA</w:t>
      </w:r>
    </w:p>
    <w:p>
      <w:pPr>
        <w:numPr>
          <w:ilvl w:val="0"/>
          <w:numId w:val="1006"/>
        </w:numPr>
        <w:pStyle w:val="Compact"/>
      </w:pPr>
      <w:r>
        <w:t xml:space="preserve">Présidente Conseil de Développement</w:t>
      </w:r>
    </w:p>
    <w:p>
      <w:pPr>
        <w:numPr>
          <w:ilvl w:val="0"/>
          <w:numId w:val="1006"/>
        </w:numPr>
        <w:pStyle w:val="Compact"/>
      </w:pPr>
      <w:r>
        <w:t xml:space="preserve">Maire de la ville centre</w:t>
      </w:r>
    </w:p>
    <w:p>
      <w:pPr>
        <w:numPr>
          <w:ilvl w:val="0"/>
          <w:numId w:val="1006"/>
        </w:numPr>
        <w:pStyle w:val="Compact"/>
      </w:pPr>
      <w:r>
        <w:t xml:space="preserve">Club des chefs d’entreprises</w:t>
      </w:r>
    </w:p>
    <w:p>
      <w:pPr>
        <w:numPr>
          <w:ilvl w:val="0"/>
          <w:numId w:val="1006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6"/>
        </w:numPr>
        <w:pStyle w:val="Compact"/>
      </w:pPr>
      <w:r>
        <w:t xml:space="preserve">Nom: Ain, nature: departement, SIREN: 01</w:t>
      </w:r>
    </w:p>
    <w:p>
      <w:pPr>
        <w:numPr>
          <w:ilvl w:val="0"/>
          <w:numId w:val="1006"/>
        </w:numPr>
        <w:pStyle w:val="Compact"/>
      </w:pPr>
      <w:r>
        <w:t xml:space="preserve">Nom: CC Bugey Sud, nature: CC, SIREN: 200040350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6"/>
        </w:numPr>
        <w:pStyle w:val="Compact"/>
      </w:pPr>
      <w:r>
        <w:t xml:space="preserve">Député</w:t>
      </w:r>
    </w:p>
    <w:p>
      <w:pPr>
        <w:pStyle w:val="FirstParagraph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Entreprises, Office de tourisme, et Opérateurs de tourisme</w:t>
      </w:r>
    </w:p>
    <w:p>
      <w:pPr>
        <w:pStyle w:val="TextBody"/>
      </w:pPr>
      <w:r>
        <w:t xml:space="preserve">Démarches de co-construction du CRTE : Consultation publique/citoyenne, Questionnaires / enquête numérique, Concertation élus/techniciens,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23.49M€</w:t>
      </w:r>
    </w:p>
    <w:p>
      <w:pPr>
        <w:pStyle w:val="TextBody"/>
      </w:pPr>
      <w:r>
        <w:t xml:space="preserve">Montant total en euros des engagements financiers des collectivités locales et leurs établissements publics : 10.93M€</w:t>
      </w:r>
    </w:p>
    <w:p>
      <w:pPr>
        <w:pStyle w:val="TextBody"/>
      </w:pPr>
      <w:r>
        <w:t xml:space="preserve">Montant total en euros des engagements financiers de l’Etat et de ses opérateurs Plan de relance : 7.06M€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4.31M€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2022-05-06T15:22:09Z</dcterms:created>
  <dcterms:modified xsi:type="dcterms:W3CDTF">2022-05-06T15:22:09Z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